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1460" w14:textId="77777777" w:rsidR="006451B1" w:rsidRDefault="007C0B5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法学院辅修专业说明</w:t>
      </w:r>
    </w:p>
    <w:p w14:paraId="153BA0B6" w14:textId="77777777" w:rsidR="006451B1" w:rsidRDefault="006451B1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373"/>
        <w:gridCol w:w="1354"/>
        <w:gridCol w:w="2849"/>
      </w:tblGrid>
      <w:tr w:rsidR="006451B1" w14:paraId="7B30AA14" w14:textId="77777777">
        <w:trPr>
          <w:trHeight w:val="774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2715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5169C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15189" w14:textId="77777777" w:rsidR="006451B1" w:rsidRDefault="007C0B54">
            <w:pPr>
              <w:widowControl/>
              <w:ind w:firstLine="14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1E025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法学</w:t>
            </w:r>
          </w:p>
        </w:tc>
      </w:tr>
      <w:tr w:rsidR="006451B1" w14:paraId="739EE9D3" w14:textId="77777777">
        <w:trPr>
          <w:trHeight w:val="585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9BBC7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专业容量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742B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67C46" w14:textId="77777777" w:rsidR="006451B1" w:rsidRDefault="007C0B54">
            <w:pPr>
              <w:widowControl/>
              <w:ind w:firstLine="14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与本专业相近专业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5D6C" w14:textId="77777777" w:rsidR="006451B1" w:rsidRDefault="007C0B5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6451B1" w14:paraId="02F94908" w14:textId="77777777">
        <w:trPr>
          <w:trHeight w:val="1110"/>
          <w:jc w:val="center"/>
        </w:trPr>
        <w:tc>
          <w:tcPr>
            <w:tcW w:w="8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D2B94" w14:textId="77777777" w:rsidR="006451B1" w:rsidRDefault="007C0B54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一、专业简介</w:t>
            </w:r>
          </w:p>
          <w:p w14:paraId="06FDA436" w14:textId="77777777" w:rsidR="006451B1" w:rsidRDefault="007C0B54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本专业基于国家“卓越法律人才”培养目标，依靠理工大学背景，在课程设计中（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）实行“基础与特色相结合”，在掌握基本法学理论和知识前提下，形成以知识产权为特色的民商法学，以空间法为特色的国际法学，以司法制度为特色的诉讼法学，以能源法为特色的环境法学等学科体系。（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）实行“理论与实务相结合”，在秉承法学教育特点，构建校内校外联合培养机制前提下，形成研究型课程、实务型课程、双语型课程板块，加强对学生法律职业能力的培养。</w:t>
            </w:r>
          </w:p>
          <w:p w14:paraId="4B915E1E" w14:textId="77777777" w:rsidR="006451B1" w:rsidRDefault="007C0B54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二、培养目标</w:t>
            </w:r>
          </w:p>
          <w:p w14:paraId="22D48F13" w14:textId="77777777" w:rsidR="006451B1" w:rsidRDefault="007C0B54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本专业根据教育部法学专业教学指导委员会的统一要求，依据应用型、复合型、国际型“卓越法律人才”培养目标，培养系统掌握法学基础知识和基本技能，熟悉我国法律和司法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政策，了解外国法律和法学动态，有较强的分析和解决法律实际问题能力，适应国家法治建设需要，具备高素质、厚基础、宽口径、创新型专业法律人才。</w:t>
            </w:r>
          </w:p>
          <w:p w14:paraId="4F818E23" w14:textId="77777777" w:rsidR="006451B1" w:rsidRDefault="007C0B54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三、就业领域</w:t>
            </w:r>
          </w:p>
          <w:p w14:paraId="3836C46F" w14:textId="77777777" w:rsidR="006451B1" w:rsidRDefault="007C0B54">
            <w:pPr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本专业毕业生除了继续深造读研，能够在国家</w:t>
            </w:r>
            <w:r>
              <w:rPr>
                <w:rFonts w:ascii="仿宋_GB2312" w:eastAsia="仿宋_GB2312" w:hAnsi="宋体" w:cs="宋体" w:hint="eastAsia"/>
                <w:vanish/>
                <w:color w:val="333333"/>
                <w:kern w:val="0"/>
                <w:sz w:val="28"/>
                <w:szCs w:val="28"/>
              </w:rPr>
              <w:t>国家也业后可以机关、题和解决问题，实践能力和创造能力较强的复合型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机关、企事业单位和社会团体，尤其是立法机关、行政机关、审判机关、检察机关、仲裁机构和其他法律服务机构，从事立法、司法、律师服务、法律顾问和其他与法律事务有关的工作。</w:t>
            </w:r>
          </w:p>
          <w:p w14:paraId="281AA97F" w14:textId="77777777" w:rsidR="006451B1" w:rsidRDefault="007C0B54">
            <w:pPr>
              <w:widowControl/>
              <w:ind w:firstLineChars="200" w:firstLine="562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四、培养方案（详见下表）</w:t>
            </w:r>
          </w:p>
          <w:tbl>
            <w:tblPr>
              <w:tblStyle w:val="a9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990"/>
              <w:gridCol w:w="2893"/>
              <w:gridCol w:w="1400"/>
              <w:gridCol w:w="1982"/>
            </w:tblGrid>
            <w:tr w:rsidR="00652736" w14:paraId="52718129" w14:textId="77777777" w:rsidTr="00652736">
              <w:trPr>
                <w:trHeight w:val="671"/>
                <w:jc w:val="center"/>
              </w:trPr>
              <w:tc>
                <w:tcPr>
                  <w:tcW w:w="1204" w:type="pct"/>
                </w:tcPr>
                <w:p w14:paraId="21E53871" w14:textId="77777777" w:rsidR="00652736" w:rsidRDefault="00652736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课程代码</w:t>
                  </w:r>
                </w:p>
              </w:tc>
              <w:tc>
                <w:tcPr>
                  <w:tcW w:w="1750" w:type="pct"/>
                </w:tcPr>
                <w:p w14:paraId="71B30F94" w14:textId="77777777" w:rsidR="00652736" w:rsidRDefault="00652736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课程名称</w:t>
                  </w:r>
                </w:p>
              </w:tc>
              <w:tc>
                <w:tcPr>
                  <w:tcW w:w="847" w:type="pct"/>
                </w:tcPr>
                <w:p w14:paraId="7D699A5F" w14:textId="77777777" w:rsidR="00652736" w:rsidRDefault="00652736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学分</w:t>
                  </w:r>
                </w:p>
              </w:tc>
              <w:tc>
                <w:tcPr>
                  <w:tcW w:w="1200" w:type="pct"/>
                </w:tcPr>
                <w:p w14:paraId="204DCA26" w14:textId="5EFCCBC2" w:rsidR="00652736" w:rsidRDefault="00652736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本学期是否开课</w:t>
                  </w:r>
                </w:p>
              </w:tc>
            </w:tr>
            <w:tr w:rsidR="00652736" w14:paraId="665E7B93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6774D85C" w14:textId="77777777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103230072</w:t>
                  </w:r>
                </w:p>
              </w:tc>
              <w:tc>
                <w:tcPr>
                  <w:tcW w:w="1750" w:type="pct"/>
                </w:tcPr>
                <w:p w14:paraId="089D32CB" w14:textId="77777777" w:rsidR="00652736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法理学</w:t>
                  </w:r>
                </w:p>
              </w:tc>
              <w:tc>
                <w:tcPr>
                  <w:tcW w:w="847" w:type="pct"/>
                </w:tcPr>
                <w:p w14:paraId="11B24268" w14:textId="77777777" w:rsidR="00652736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2FC5A6A1" w14:textId="2680476D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6E57FCD1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51B7AF69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103230004</w:t>
                  </w:r>
                </w:p>
              </w:tc>
              <w:tc>
                <w:tcPr>
                  <w:tcW w:w="1750" w:type="pct"/>
                </w:tcPr>
                <w:p w14:paraId="0ED13666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民法总论</w:t>
                  </w:r>
                </w:p>
              </w:tc>
              <w:tc>
                <w:tcPr>
                  <w:tcW w:w="847" w:type="pct"/>
                </w:tcPr>
                <w:p w14:paraId="0B20A613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3803627F" w14:textId="14C04D93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C80E4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10A8004C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408ABF8F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103230005</w:t>
                  </w:r>
                </w:p>
              </w:tc>
              <w:tc>
                <w:tcPr>
                  <w:tcW w:w="1750" w:type="pct"/>
                </w:tcPr>
                <w:p w14:paraId="25E39E80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刑法总论</w:t>
                  </w:r>
                </w:p>
              </w:tc>
              <w:tc>
                <w:tcPr>
                  <w:tcW w:w="847" w:type="pct"/>
                </w:tcPr>
                <w:p w14:paraId="28446E44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47E4665D" w14:textId="306CB77A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C80E4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150A669F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18200B19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100230011</w:t>
                  </w:r>
                </w:p>
              </w:tc>
              <w:tc>
                <w:tcPr>
                  <w:tcW w:w="1750" w:type="pct"/>
                </w:tcPr>
                <w:p w14:paraId="20568D5C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行政法与行政诉讼法</w:t>
                  </w:r>
                </w:p>
              </w:tc>
              <w:tc>
                <w:tcPr>
                  <w:tcW w:w="847" w:type="pct"/>
                </w:tcPr>
                <w:p w14:paraId="3379BCA4" w14:textId="77777777" w:rsidR="00652736" w:rsidRDefault="00652736" w:rsidP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1B51D00A" w14:textId="55C78A34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C80E4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4E90DE5A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4B0FAB57" w14:textId="77777777" w:rsidR="00652736" w:rsidRPr="00F10328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100230032</w:t>
                  </w:r>
                </w:p>
              </w:tc>
              <w:tc>
                <w:tcPr>
                  <w:tcW w:w="1750" w:type="pct"/>
                </w:tcPr>
                <w:p w14:paraId="332D10AF" w14:textId="77777777" w:rsidR="00652736" w:rsidRPr="00F10328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hint="eastAsia"/>
                      <w:sz w:val="24"/>
                      <w:szCs w:val="24"/>
                    </w:rPr>
                    <w:t>刑法分论</w:t>
                  </w:r>
                </w:p>
              </w:tc>
              <w:tc>
                <w:tcPr>
                  <w:tcW w:w="847" w:type="pct"/>
                </w:tcPr>
                <w:p w14:paraId="62E5C883" w14:textId="77777777" w:rsidR="00652736" w:rsidRPr="00F10328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1510956A" w14:textId="2321CA30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52736" w14:paraId="53FE0BB5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26AF03E1" w14:textId="77777777" w:rsidR="00652736" w:rsidRPr="00F10328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100230004</w:t>
                  </w:r>
                </w:p>
              </w:tc>
              <w:tc>
                <w:tcPr>
                  <w:tcW w:w="1750" w:type="pct"/>
                </w:tcPr>
                <w:p w14:paraId="233498C5" w14:textId="77777777" w:rsidR="00652736" w:rsidRPr="00F10328" w:rsidRDefault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知识产权法</w:t>
                  </w:r>
                </w:p>
              </w:tc>
              <w:tc>
                <w:tcPr>
                  <w:tcW w:w="847" w:type="pct"/>
                </w:tcPr>
                <w:p w14:paraId="33D582BA" w14:textId="77777777" w:rsidR="00652736" w:rsidRPr="00F10328" w:rsidRDefault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1032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287613AA" w14:textId="62565ED0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52736" w14:paraId="7348423C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5413F8AB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100230007</w:t>
                  </w:r>
                </w:p>
              </w:tc>
              <w:tc>
                <w:tcPr>
                  <w:tcW w:w="1750" w:type="pct"/>
                  <w:vAlign w:val="center"/>
                </w:tcPr>
                <w:p w14:paraId="1D3790C4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物权法</w:t>
                  </w:r>
                </w:p>
              </w:tc>
              <w:tc>
                <w:tcPr>
                  <w:tcW w:w="847" w:type="pct"/>
                  <w:vAlign w:val="center"/>
                </w:tcPr>
                <w:p w14:paraId="77B95E1B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44D61FFF" w14:textId="597A0D42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3A7D3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7C430646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3621DC80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100230008</w:t>
                  </w:r>
                </w:p>
              </w:tc>
              <w:tc>
                <w:tcPr>
                  <w:tcW w:w="1750" w:type="pct"/>
                  <w:vAlign w:val="center"/>
                </w:tcPr>
                <w:p w14:paraId="4C14F922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债权法</w:t>
                  </w:r>
                </w:p>
              </w:tc>
              <w:tc>
                <w:tcPr>
                  <w:tcW w:w="847" w:type="pct"/>
                  <w:vAlign w:val="center"/>
                </w:tcPr>
                <w:p w14:paraId="5BA67700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54663179" w14:textId="3A5B92B1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3A7D3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0B2C5A26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3254A258" w14:textId="77777777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100230017</w:t>
                  </w:r>
                </w:p>
              </w:tc>
              <w:tc>
                <w:tcPr>
                  <w:tcW w:w="1750" w:type="pct"/>
                </w:tcPr>
                <w:p w14:paraId="73E4C7A2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侵权责任法</w:t>
                  </w:r>
                </w:p>
              </w:tc>
              <w:tc>
                <w:tcPr>
                  <w:tcW w:w="847" w:type="pct"/>
                </w:tcPr>
                <w:p w14:paraId="2ACB7E80" w14:textId="77777777" w:rsidR="00652736" w:rsidRDefault="00652736" w:rsidP="00652736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pct"/>
                </w:tcPr>
                <w:p w14:paraId="54A7C550" w14:textId="6617517D" w:rsidR="00652736" w:rsidRDefault="00652736" w:rsidP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A7D3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52736" w14:paraId="62E3ADEE" w14:textId="77777777" w:rsidTr="00652736">
              <w:trPr>
                <w:jc w:val="center"/>
              </w:trPr>
              <w:tc>
                <w:tcPr>
                  <w:tcW w:w="1204" w:type="pct"/>
                </w:tcPr>
                <w:p w14:paraId="3F8B14BC" w14:textId="77777777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总计学分</w:t>
                  </w:r>
                </w:p>
              </w:tc>
              <w:tc>
                <w:tcPr>
                  <w:tcW w:w="1750" w:type="pct"/>
                </w:tcPr>
                <w:p w14:paraId="55A73B39" w14:textId="77777777" w:rsidR="00652736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</w:tcPr>
                <w:p w14:paraId="0B97EC20" w14:textId="77777777" w:rsidR="00652736" w:rsidRDefault="00652736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00" w:type="pct"/>
                </w:tcPr>
                <w:p w14:paraId="75B031B8" w14:textId="77777777" w:rsidR="00652736" w:rsidRDefault="006527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3947FD7" w14:textId="77777777" w:rsidR="006451B1" w:rsidRDefault="006451B1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14:paraId="307356EE" w14:textId="77777777" w:rsidR="006451B1" w:rsidRDefault="006451B1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6451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7894" w14:textId="77777777" w:rsidR="007C0B54" w:rsidRDefault="007C0B54">
      <w:r>
        <w:separator/>
      </w:r>
    </w:p>
  </w:endnote>
  <w:endnote w:type="continuationSeparator" w:id="0">
    <w:p w14:paraId="6434790D" w14:textId="77777777" w:rsidR="007C0B54" w:rsidRDefault="007C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275327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14:paraId="1D594523" w14:textId="77777777" w:rsidR="006451B1" w:rsidRDefault="007C0B5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BE054B" w14:textId="77777777" w:rsidR="006451B1" w:rsidRDefault="00645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01B88" w14:textId="77777777" w:rsidR="007C0B54" w:rsidRDefault="007C0B54">
      <w:r>
        <w:separator/>
      </w:r>
    </w:p>
  </w:footnote>
  <w:footnote w:type="continuationSeparator" w:id="0">
    <w:p w14:paraId="22EC6C44" w14:textId="77777777" w:rsidR="007C0B54" w:rsidRDefault="007C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12"/>
    <w:rsid w:val="000337F2"/>
    <w:rsid w:val="0003545A"/>
    <w:rsid w:val="00131C7E"/>
    <w:rsid w:val="00150DE4"/>
    <w:rsid w:val="00161170"/>
    <w:rsid w:val="00182F61"/>
    <w:rsid w:val="001E387C"/>
    <w:rsid w:val="00216BA9"/>
    <w:rsid w:val="00252335"/>
    <w:rsid w:val="00275845"/>
    <w:rsid w:val="002E31B0"/>
    <w:rsid w:val="002F03A6"/>
    <w:rsid w:val="0034226A"/>
    <w:rsid w:val="003A115B"/>
    <w:rsid w:val="003B2412"/>
    <w:rsid w:val="003F0F48"/>
    <w:rsid w:val="003F50B6"/>
    <w:rsid w:val="004D025E"/>
    <w:rsid w:val="004E10C6"/>
    <w:rsid w:val="004F10F3"/>
    <w:rsid w:val="00530846"/>
    <w:rsid w:val="00531377"/>
    <w:rsid w:val="005349EB"/>
    <w:rsid w:val="005535F7"/>
    <w:rsid w:val="00556E2B"/>
    <w:rsid w:val="00560D4C"/>
    <w:rsid w:val="005628AB"/>
    <w:rsid w:val="005C2DC8"/>
    <w:rsid w:val="0064351E"/>
    <w:rsid w:val="006451B1"/>
    <w:rsid w:val="00652736"/>
    <w:rsid w:val="006C5206"/>
    <w:rsid w:val="0071095B"/>
    <w:rsid w:val="00786847"/>
    <w:rsid w:val="007B72D8"/>
    <w:rsid w:val="007C0B54"/>
    <w:rsid w:val="008D7CE0"/>
    <w:rsid w:val="0097093C"/>
    <w:rsid w:val="009C6673"/>
    <w:rsid w:val="009D4FB7"/>
    <w:rsid w:val="009E4AA8"/>
    <w:rsid w:val="00A4755E"/>
    <w:rsid w:val="00A753AD"/>
    <w:rsid w:val="00A855AA"/>
    <w:rsid w:val="00AC3EE4"/>
    <w:rsid w:val="00AD66B3"/>
    <w:rsid w:val="00B728E3"/>
    <w:rsid w:val="00C121A3"/>
    <w:rsid w:val="00C820DA"/>
    <w:rsid w:val="00CE2011"/>
    <w:rsid w:val="00D0154C"/>
    <w:rsid w:val="00D4661C"/>
    <w:rsid w:val="00D84122"/>
    <w:rsid w:val="00E01AA5"/>
    <w:rsid w:val="00E5089E"/>
    <w:rsid w:val="00E91FA5"/>
    <w:rsid w:val="00EB405A"/>
    <w:rsid w:val="00EB4E05"/>
    <w:rsid w:val="00EB77CE"/>
    <w:rsid w:val="00EC1F8E"/>
    <w:rsid w:val="00ED4CAE"/>
    <w:rsid w:val="00F10328"/>
    <w:rsid w:val="18AE6959"/>
    <w:rsid w:val="491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52F09"/>
  <w15:docId w15:val="{64AEFF58-687C-4C05-B07F-E69F76C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zyl</cp:lastModifiedBy>
  <cp:revision>3</cp:revision>
  <cp:lastPrinted>2019-05-10T02:05:00Z</cp:lastPrinted>
  <dcterms:created xsi:type="dcterms:W3CDTF">2020-09-28T05:54:00Z</dcterms:created>
  <dcterms:modified xsi:type="dcterms:W3CDTF">2020-09-28T05:55:00Z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