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numPr>
          <w:ilvl w:val="0"/>
          <w:numId w:val="0"/>
        </w:numPr>
        <w:ind w:left="270" w:leftChars="0"/>
        <w:jc w:val="left"/>
        <w:rPr>
          <w:rFonts w:hint="default" w:ascii="楷体_GB2312" w:hAnsi="宋体" w:eastAsia="楷体_GB2312" w:cs="宋体"/>
          <w:b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b/>
          <w:color w:val="333333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楷体_GB2312" w:hAnsi="宋体" w:eastAsia="MS Mincho" w:cs="宋体"/>
          <w:b/>
          <w:color w:val="333333"/>
          <w:kern w:val="0"/>
          <w:sz w:val="28"/>
          <w:szCs w:val="28"/>
          <w:lang w:val="en-US" w:eastAsia="ja-JP"/>
        </w:rPr>
        <w:t>　　　　　</w:t>
      </w:r>
      <w:r>
        <w:rPr>
          <w:rFonts w:hint="eastAsia" w:ascii="楷体_GB2312" w:hAnsi="宋体" w:eastAsia="楷体_GB2312" w:cs="宋体"/>
          <w:b/>
          <w:color w:val="333333"/>
          <w:kern w:val="0"/>
          <w:sz w:val="32"/>
          <w:szCs w:val="32"/>
          <w:lang w:val="en-US" w:eastAsia="zh-CN"/>
        </w:rPr>
        <w:t xml:space="preserve"> 辅修日语专业培养方案</w:t>
      </w:r>
    </w:p>
    <w:p>
      <w:pPr>
        <w:pStyle w:val="5"/>
        <w:widowControl/>
        <w:numPr>
          <w:ilvl w:val="0"/>
          <w:numId w:val="1"/>
        </w:numPr>
        <w:ind w:firstLineChars="0"/>
        <w:jc w:val="left"/>
        <w:rPr>
          <w:rFonts w:ascii="楷体_GB2312" w:hAnsi="宋体" w:eastAsia="楷体_GB2312" w:cs="宋体"/>
          <w:b/>
          <w:color w:val="333333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b/>
          <w:color w:val="333333"/>
          <w:kern w:val="0"/>
          <w:sz w:val="28"/>
          <w:szCs w:val="28"/>
        </w:rPr>
        <w:t>专业简介</w:t>
      </w:r>
    </w:p>
    <w:p>
      <w:pPr>
        <w:pStyle w:val="5"/>
        <w:widowControl/>
        <w:ind w:left="990" w:firstLine="0" w:firstLineChars="0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/>
          <w:sz w:val="24"/>
          <w:szCs w:val="24"/>
        </w:rPr>
        <w:t>日语专业成立于</w:t>
      </w:r>
      <w:r>
        <w:rPr>
          <w:rFonts w:ascii="宋体" w:hAnsi="宋体" w:eastAsia="宋体"/>
          <w:sz w:val="24"/>
          <w:szCs w:val="24"/>
        </w:rPr>
        <w:t>2000</w:t>
      </w:r>
      <w:r>
        <w:rPr>
          <w:rFonts w:hint="eastAsia" w:ascii="宋体" w:hAnsi="宋体" w:eastAsia="宋体"/>
          <w:sz w:val="24"/>
          <w:szCs w:val="24"/>
        </w:rPr>
        <w:t>年，现为中国日语教学研究会常务理事单位，日语系办学宗旨是为社会培养优秀的科技日语人才，每年招收一个班。日语系于</w:t>
      </w:r>
      <w:r>
        <w:rPr>
          <w:rFonts w:ascii="宋体" w:hAnsi="宋体" w:eastAsia="宋体"/>
          <w:sz w:val="24"/>
          <w:szCs w:val="24"/>
        </w:rPr>
        <w:t>2004</w:t>
      </w:r>
      <w:r>
        <w:rPr>
          <w:rFonts w:hint="eastAsia" w:ascii="宋体" w:hAnsi="宋体" w:eastAsia="宋体"/>
          <w:sz w:val="24"/>
          <w:szCs w:val="24"/>
        </w:rPr>
        <w:t>年开始招收</w:t>
      </w:r>
      <w:r>
        <w:rPr>
          <w:rFonts w:ascii="宋体" w:hAnsi="宋体" w:eastAsia="宋体"/>
          <w:sz w:val="24"/>
          <w:szCs w:val="24"/>
        </w:rPr>
        <w:t>“</w:t>
      </w:r>
      <w:r>
        <w:rPr>
          <w:rFonts w:hint="eastAsia" w:ascii="宋体" w:hAnsi="宋体" w:eastAsia="宋体"/>
          <w:sz w:val="24"/>
          <w:szCs w:val="24"/>
        </w:rPr>
        <w:t>外国语言学及应用语言学（日语）</w:t>
      </w:r>
      <w:r>
        <w:rPr>
          <w:rFonts w:ascii="宋体" w:hAnsi="宋体" w:eastAsia="宋体"/>
          <w:sz w:val="24"/>
          <w:szCs w:val="24"/>
        </w:rPr>
        <w:t>”</w:t>
      </w:r>
      <w:r>
        <w:rPr>
          <w:rFonts w:hint="eastAsia" w:ascii="宋体" w:hAnsi="宋体" w:eastAsia="宋体"/>
          <w:sz w:val="24"/>
          <w:szCs w:val="24"/>
        </w:rPr>
        <w:t>方向硕士研究生；</w:t>
      </w:r>
      <w:r>
        <w:rPr>
          <w:rFonts w:ascii="宋体" w:hAnsi="宋体" w:eastAsia="宋体"/>
          <w:sz w:val="24"/>
          <w:szCs w:val="24"/>
        </w:rPr>
        <w:t>2018</w:t>
      </w:r>
      <w:r>
        <w:rPr>
          <w:rFonts w:hint="eastAsia" w:ascii="宋体" w:hAnsi="宋体" w:eastAsia="宋体"/>
          <w:sz w:val="24"/>
          <w:szCs w:val="24"/>
        </w:rPr>
        <w:t>年年底成立</w:t>
      </w:r>
      <w:r>
        <w:rPr>
          <w:rFonts w:ascii="宋体" w:hAnsi="宋体" w:eastAsia="宋体"/>
          <w:sz w:val="24"/>
          <w:szCs w:val="24"/>
        </w:rPr>
        <w:t>“</w:t>
      </w:r>
      <w:r>
        <w:rPr>
          <w:rFonts w:hint="eastAsia" w:ascii="宋体" w:hAnsi="宋体" w:eastAsia="宋体"/>
          <w:sz w:val="24"/>
          <w:szCs w:val="24"/>
        </w:rPr>
        <w:t>日本学研究中心</w:t>
      </w:r>
      <w:r>
        <w:rPr>
          <w:rFonts w:ascii="宋体" w:hAnsi="宋体" w:eastAsia="宋体"/>
          <w:sz w:val="24"/>
          <w:szCs w:val="24"/>
        </w:rPr>
        <w:t>”</w:t>
      </w:r>
      <w:r>
        <w:rPr>
          <w:rFonts w:hint="eastAsia" w:ascii="宋体" w:hAnsi="宋体" w:eastAsia="宋体"/>
          <w:sz w:val="24"/>
          <w:szCs w:val="24"/>
        </w:rPr>
        <w:t>，进一步提升了专业科研水平和学术交流水平。日语系现有教师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sz w:val="24"/>
          <w:szCs w:val="24"/>
        </w:rPr>
        <w:t>名，其中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教授1名，</w:t>
      </w:r>
      <w:r>
        <w:rPr>
          <w:rFonts w:hint="eastAsia" w:ascii="宋体" w:hAnsi="宋体" w:eastAsia="宋体"/>
          <w:sz w:val="24"/>
          <w:szCs w:val="24"/>
        </w:rPr>
        <w:t>副教授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sz w:val="24"/>
          <w:szCs w:val="24"/>
        </w:rPr>
        <w:t>名，讲师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sz w:val="24"/>
          <w:szCs w:val="24"/>
        </w:rPr>
        <w:t>名，日籍外教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名。具有博士学位的教师</w:t>
      </w:r>
      <w:r>
        <w:rPr>
          <w:rFonts w:ascii="宋体" w:hAnsi="宋体" w:eastAsia="宋体"/>
          <w:sz w:val="24"/>
          <w:szCs w:val="24"/>
        </w:rPr>
        <w:t>9</w:t>
      </w:r>
      <w:r>
        <w:rPr>
          <w:rFonts w:hint="eastAsia" w:ascii="宋体" w:hAnsi="宋体" w:eastAsia="宋体"/>
          <w:sz w:val="24"/>
          <w:szCs w:val="24"/>
        </w:rPr>
        <w:t>名。负责日语专业本科生、研究生及全校公共日语课程的教学。发表论文近百篇，编写教材近十部。</w:t>
      </w:r>
    </w:p>
    <w:p>
      <w:pPr>
        <w:pStyle w:val="5"/>
        <w:widowControl/>
        <w:numPr>
          <w:ilvl w:val="0"/>
          <w:numId w:val="1"/>
        </w:numPr>
        <w:ind w:firstLineChars="0"/>
        <w:jc w:val="left"/>
        <w:rPr>
          <w:rFonts w:ascii="楷体_GB2312" w:hAnsi="宋体" w:eastAsia="楷体_GB2312" w:cs="宋体"/>
          <w:b/>
          <w:color w:val="333333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b/>
          <w:color w:val="333333"/>
          <w:kern w:val="0"/>
          <w:sz w:val="28"/>
          <w:szCs w:val="28"/>
        </w:rPr>
        <w:t>培养目标</w:t>
      </w:r>
    </w:p>
    <w:p>
      <w:pPr>
        <w:pStyle w:val="5"/>
        <w:widowControl/>
        <w:ind w:left="990" w:firstLine="0" w:firstLineChars="0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191919"/>
          <w:sz w:val="24"/>
          <w:szCs w:val="24"/>
        </w:rPr>
        <w:t>日</w:t>
      </w:r>
      <w:r>
        <w:rPr>
          <w:rFonts w:ascii="宋体" w:hAnsi="宋体" w:eastAsia="宋体" w:cs="Arial"/>
          <w:color w:val="191919"/>
          <w:sz w:val="24"/>
          <w:szCs w:val="24"/>
        </w:rPr>
        <w:t>语辅修</w:t>
      </w:r>
      <w:r>
        <w:rPr>
          <w:rFonts w:hint="eastAsia" w:ascii="宋体" w:hAnsi="宋体" w:eastAsia="宋体" w:cs="Arial"/>
          <w:color w:val="191919"/>
          <w:sz w:val="24"/>
          <w:szCs w:val="24"/>
        </w:rPr>
        <w:t>专业</w:t>
      </w:r>
      <w:r>
        <w:rPr>
          <w:rFonts w:ascii="宋体" w:hAnsi="宋体" w:eastAsia="宋体" w:cs="Arial"/>
          <w:color w:val="191919"/>
          <w:sz w:val="24"/>
          <w:szCs w:val="24"/>
        </w:rPr>
        <w:t>课程</w:t>
      </w:r>
      <w:r>
        <w:rPr>
          <w:rFonts w:hint="eastAsia" w:ascii="宋体" w:hAnsi="宋体" w:eastAsia="宋体" w:cs="Arial"/>
          <w:color w:val="191919"/>
          <w:sz w:val="24"/>
          <w:szCs w:val="24"/>
        </w:rPr>
        <w:t>将</w:t>
      </w:r>
      <w:r>
        <w:rPr>
          <w:rFonts w:ascii="宋体" w:hAnsi="宋体" w:eastAsia="宋体" w:cs="Arial"/>
          <w:color w:val="191919"/>
          <w:sz w:val="24"/>
          <w:szCs w:val="24"/>
        </w:rPr>
        <w:t>采取开放性、灵活性教学方针，要求学生</w:t>
      </w:r>
      <w:r>
        <w:rPr>
          <w:rFonts w:hint="eastAsia" w:ascii="宋体" w:hAnsi="宋体" w:eastAsia="宋体" w:cs="Arial"/>
          <w:color w:val="191919"/>
          <w:sz w:val="24"/>
          <w:szCs w:val="24"/>
        </w:rPr>
        <w:t>不仅</w:t>
      </w:r>
      <w:r>
        <w:rPr>
          <w:rFonts w:ascii="宋体" w:hAnsi="宋体" w:eastAsia="宋体" w:cs="Arial"/>
          <w:color w:val="191919"/>
          <w:sz w:val="24"/>
          <w:szCs w:val="24"/>
        </w:rPr>
        <w:t>具有日语语言文化知识，掌握</w:t>
      </w:r>
      <w:r>
        <w:rPr>
          <w:rFonts w:hint="eastAsia" w:ascii="宋体" w:hAnsi="宋体" w:eastAsia="宋体" w:cs="Arial"/>
          <w:color w:val="191919"/>
          <w:sz w:val="24"/>
          <w:szCs w:val="24"/>
        </w:rPr>
        <w:t>较强的语言</w:t>
      </w:r>
      <w:r>
        <w:rPr>
          <w:rFonts w:ascii="宋体" w:hAnsi="宋体" w:eastAsia="宋体" w:cs="Arial"/>
          <w:color w:val="191919"/>
          <w:sz w:val="24"/>
          <w:szCs w:val="24"/>
        </w:rPr>
        <w:t>运用能力，</w:t>
      </w:r>
      <w:r>
        <w:rPr>
          <w:rFonts w:hint="eastAsia" w:ascii="宋体" w:hAnsi="宋体" w:eastAsia="宋体" w:cs="Arial"/>
          <w:color w:val="191919"/>
          <w:sz w:val="24"/>
          <w:szCs w:val="24"/>
        </w:rPr>
        <w:t>而且要</w:t>
      </w:r>
      <w:r>
        <w:rPr>
          <w:rFonts w:ascii="宋体" w:hAnsi="宋体" w:eastAsia="宋体" w:cs="Arial"/>
          <w:color w:val="191919"/>
          <w:sz w:val="24"/>
          <w:szCs w:val="24"/>
        </w:rPr>
        <w:t>收获丰富的日本语言文化知识，为理、工、文、医等各类主专业打下扎实的日语基础，从而可为毕业后就职和从事科研工作提供更为广阔的天地。同时将增加日语能力</w:t>
      </w:r>
      <w:r>
        <w:rPr>
          <w:rFonts w:hint="eastAsia" w:ascii="宋体" w:hAnsi="宋体" w:eastAsia="宋体" w:cs="Arial"/>
          <w:color w:val="191919"/>
          <w:sz w:val="24"/>
          <w:szCs w:val="24"/>
        </w:rPr>
        <w:t>考试</w:t>
      </w:r>
      <w:r>
        <w:rPr>
          <w:rFonts w:ascii="宋体" w:hAnsi="宋体" w:eastAsia="宋体" w:cs="Arial"/>
          <w:color w:val="191919"/>
          <w:sz w:val="24"/>
          <w:szCs w:val="24"/>
        </w:rPr>
        <w:t>专项训练，将帮助学生顺利通过</w:t>
      </w:r>
      <w:r>
        <w:rPr>
          <w:rFonts w:hint="eastAsia" w:ascii="宋体" w:hAnsi="宋体" w:eastAsia="宋体" w:cs="Arial"/>
          <w:color w:val="191919"/>
          <w:sz w:val="24"/>
          <w:szCs w:val="24"/>
        </w:rPr>
        <w:t>相关日语国际能力</w:t>
      </w:r>
      <w:r>
        <w:rPr>
          <w:rFonts w:ascii="宋体" w:hAnsi="宋体" w:eastAsia="宋体" w:cs="Arial"/>
          <w:color w:val="191919"/>
          <w:sz w:val="24"/>
          <w:szCs w:val="24"/>
        </w:rPr>
        <w:t>测试。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圆满完成学业者，将获得北京理工大学颁予的辅修专业证书。</w:t>
      </w:r>
    </w:p>
    <w:p>
      <w:pPr>
        <w:pStyle w:val="5"/>
        <w:widowControl/>
        <w:numPr>
          <w:ilvl w:val="0"/>
          <w:numId w:val="1"/>
        </w:numPr>
        <w:ind w:firstLineChars="0"/>
        <w:jc w:val="left"/>
        <w:rPr>
          <w:rFonts w:ascii="楷体_GB2312" w:hAnsi="宋体" w:eastAsia="楷体_GB2312" w:cs="宋体"/>
          <w:b/>
          <w:color w:val="333333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b/>
          <w:color w:val="333333"/>
          <w:kern w:val="0"/>
          <w:sz w:val="28"/>
          <w:szCs w:val="28"/>
        </w:rPr>
        <w:t>就业领域</w:t>
      </w:r>
    </w:p>
    <w:p>
      <w:pPr>
        <w:pStyle w:val="5"/>
        <w:widowControl/>
        <w:ind w:left="990" w:firstLine="0" w:firstLineChars="0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/>
          <w:sz w:val="24"/>
          <w:szCs w:val="24"/>
        </w:rPr>
        <w:t>近年来，日语系本科就业者中</w:t>
      </w:r>
      <w:r>
        <w:rPr>
          <w:rFonts w:ascii="宋体" w:hAnsi="宋体" w:eastAsia="宋体"/>
          <w:sz w:val="24"/>
          <w:szCs w:val="24"/>
        </w:rPr>
        <w:t>70%</w:t>
      </w:r>
      <w:r>
        <w:rPr>
          <w:rFonts w:hint="eastAsia" w:ascii="宋体" w:hAnsi="宋体" w:eastAsia="宋体"/>
          <w:sz w:val="24"/>
          <w:szCs w:val="24"/>
        </w:rPr>
        <w:t>以上留京就职。由于他们不仅具备坚实的专业基础，更秉承了北京理工大学严谨的治学态度和行事作风，在工作中受到了广泛的认可和好评。目前日语系毕业生就职单位遍及政府机构，金融，法律，文化产业及各日本大型企业等多重领域。</w:t>
      </w:r>
    </w:p>
    <w:p>
      <w:pPr>
        <w:pStyle w:val="5"/>
        <w:widowControl/>
        <w:numPr>
          <w:ilvl w:val="0"/>
          <w:numId w:val="1"/>
        </w:numPr>
        <w:ind w:firstLineChars="0"/>
        <w:jc w:val="left"/>
        <w:rPr>
          <w:rFonts w:hint="eastAsia" w:ascii="楷体_GB2312" w:hAnsi="宋体" w:eastAsia="楷体_GB2312" w:cs="宋体"/>
          <w:b/>
          <w:color w:val="333333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b/>
          <w:color w:val="333333"/>
          <w:kern w:val="0"/>
          <w:sz w:val="28"/>
          <w:szCs w:val="28"/>
        </w:rPr>
        <w:t>培养方案</w:t>
      </w:r>
    </w:p>
    <w:tbl>
      <w:tblPr>
        <w:tblStyle w:val="3"/>
        <w:tblW w:w="7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2500"/>
        <w:gridCol w:w="1186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632" w:type="dxa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  <w:t>课程代码</w:t>
            </w:r>
          </w:p>
        </w:tc>
        <w:tc>
          <w:tcPr>
            <w:tcW w:w="2500" w:type="dxa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186" w:type="dxa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  <w:t>学分</w:t>
            </w:r>
          </w:p>
        </w:tc>
        <w:tc>
          <w:tcPr>
            <w:tcW w:w="1725" w:type="dxa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2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100242132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10024213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500" w:type="dxa"/>
            <w:vAlign w:val="center"/>
          </w:tcPr>
          <w:p>
            <w:pPr>
              <w:widowControl/>
              <w:jc w:val="left"/>
              <w:rPr>
                <w:rFonts w:hint="eastAsia" w:ascii="Tahoma" w:hAnsi="Tahoma" w:eastAsia="宋体" w:cs="Tahoma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kern w:val="0"/>
                <w:szCs w:val="21"/>
              </w:rPr>
              <w:t>基础日语1</w:t>
            </w:r>
          </w:p>
          <w:p>
            <w:pPr>
              <w:widowControl/>
              <w:jc w:val="left"/>
              <w:rPr>
                <w:rFonts w:hint="eastAsia" w:ascii="Tahoma" w:hAnsi="Tahoma" w:eastAsia="宋体" w:cs="Tahom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kern w:val="0"/>
                <w:szCs w:val="21"/>
                <w:lang w:val="en-US" w:eastAsia="zh-CN"/>
              </w:rPr>
              <w:t>或基础日语2</w:t>
            </w:r>
          </w:p>
        </w:tc>
        <w:tc>
          <w:tcPr>
            <w:tcW w:w="1186" w:type="dxa"/>
          </w:tcPr>
          <w:p>
            <w:pPr>
              <w:pStyle w:val="5"/>
              <w:ind w:firstLine="0" w:firstLineChars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</w:p>
          <w:p>
            <w:pPr>
              <w:pStyle w:val="5"/>
              <w:ind w:firstLine="0" w:firstLineChars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725" w:type="dxa"/>
          </w:tcPr>
          <w:p>
            <w:pPr>
              <w:pStyle w:val="5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2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100242136</w:t>
            </w:r>
          </w:p>
        </w:tc>
        <w:tc>
          <w:tcPr>
            <w:tcW w:w="2500" w:type="dxa"/>
            <w:vAlign w:val="center"/>
          </w:tcPr>
          <w:p>
            <w:pPr>
              <w:widowControl/>
              <w:jc w:val="left"/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kern w:val="0"/>
                <w:szCs w:val="21"/>
                <w:lang w:val="en-US" w:eastAsia="zh-CN"/>
              </w:rPr>
              <w:t>日本国家概况</w:t>
            </w:r>
          </w:p>
        </w:tc>
        <w:tc>
          <w:tcPr>
            <w:tcW w:w="1186" w:type="dxa"/>
          </w:tcPr>
          <w:p>
            <w:pPr>
              <w:pStyle w:val="5"/>
              <w:ind w:firstLine="0" w:firstLineChars="0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25" w:type="dxa"/>
          </w:tcPr>
          <w:p>
            <w:pPr>
              <w:pStyle w:val="5"/>
              <w:ind w:firstLine="0" w:firstLineChars="0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2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 xml:space="preserve">100242137   </w:t>
            </w:r>
          </w:p>
        </w:tc>
        <w:tc>
          <w:tcPr>
            <w:tcW w:w="2500" w:type="dxa"/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kern w:val="0"/>
                <w:szCs w:val="21"/>
              </w:rPr>
              <w:t>日语阅读与写作</w:t>
            </w:r>
            <w:r>
              <w:rPr>
                <w:rFonts w:hint="eastAsia" w:ascii="Tahoma" w:hAnsi="Tahoma" w:eastAsia="宋体" w:cs="Tahoma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Tahoma" w:hAnsi="Tahoma" w:eastAsia="宋体" w:cs="Tahoma"/>
                <w:kern w:val="0"/>
                <w:szCs w:val="21"/>
              </w:rPr>
              <w:t xml:space="preserve">               </w:t>
            </w:r>
          </w:p>
        </w:tc>
        <w:tc>
          <w:tcPr>
            <w:tcW w:w="1186" w:type="dxa"/>
          </w:tcPr>
          <w:p>
            <w:pPr>
              <w:pStyle w:val="5"/>
              <w:ind w:firstLine="0" w:firstLineChars="0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25" w:type="dxa"/>
          </w:tcPr>
          <w:p>
            <w:pPr>
              <w:pStyle w:val="5"/>
              <w:ind w:firstLine="0" w:firstLineChars="0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2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10024213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500" w:type="dxa"/>
            <w:vAlign w:val="center"/>
          </w:tcPr>
          <w:p>
            <w:pPr>
              <w:widowControl/>
              <w:jc w:val="left"/>
              <w:rPr>
                <w:rFonts w:hint="eastAsia" w:ascii="Tahoma" w:hAnsi="Tahoma" w:eastAsia="宋体" w:cs="Tahoma"/>
                <w:kern w:val="0"/>
                <w:szCs w:val="21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kern w:val="0"/>
                <w:szCs w:val="21"/>
              </w:rPr>
              <w:t>日语阅读与写作</w:t>
            </w:r>
            <w:r>
              <w:rPr>
                <w:rFonts w:hint="eastAsia" w:ascii="Tahoma" w:hAnsi="Tahoma" w:eastAsia="宋体" w:cs="Tahom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86" w:type="dxa"/>
          </w:tcPr>
          <w:p>
            <w:pPr>
              <w:pStyle w:val="5"/>
              <w:ind w:firstLine="0" w:firstLineChars="0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25" w:type="dxa"/>
          </w:tcPr>
          <w:p>
            <w:pPr>
              <w:pStyle w:val="5"/>
              <w:ind w:firstLine="0" w:firstLineChars="0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2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100242139</w:t>
            </w:r>
          </w:p>
        </w:tc>
        <w:tc>
          <w:tcPr>
            <w:tcW w:w="2500" w:type="dxa"/>
            <w:vAlign w:val="center"/>
          </w:tcPr>
          <w:p>
            <w:pPr>
              <w:widowControl/>
              <w:jc w:val="left"/>
              <w:rPr>
                <w:rFonts w:hint="eastAsia" w:ascii="Tahoma" w:hAnsi="Tahoma" w:eastAsia="宋体" w:cs="Tahoma"/>
                <w:kern w:val="0"/>
                <w:szCs w:val="21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kern w:val="0"/>
                <w:szCs w:val="21"/>
              </w:rPr>
              <w:t>日语阅读与写作</w:t>
            </w:r>
            <w:r>
              <w:rPr>
                <w:rFonts w:hint="eastAsia" w:ascii="Tahoma" w:hAnsi="Tahoma" w:eastAsia="宋体" w:cs="Tahom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186" w:type="dxa"/>
          </w:tcPr>
          <w:p>
            <w:pPr>
              <w:pStyle w:val="5"/>
              <w:ind w:firstLine="0" w:firstLineChars="0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25" w:type="dxa"/>
          </w:tcPr>
          <w:p>
            <w:pPr>
              <w:pStyle w:val="5"/>
              <w:ind w:firstLine="0" w:firstLineChars="0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2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100242141</w:t>
            </w:r>
          </w:p>
        </w:tc>
        <w:tc>
          <w:tcPr>
            <w:tcW w:w="2500" w:type="dxa"/>
            <w:vAlign w:val="center"/>
          </w:tcPr>
          <w:p>
            <w:pPr>
              <w:widowControl/>
              <w:jc w:val="left"/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kern w:val="0"/>
                <w:szCs w:val="21"/>
                <w:lang w:val="en-US" w:eastAsia="zh-CN"/>
              </w:rPr>
              <w:t>日本历史</w:t>
            </w:r>
          </w:p>
        </w:tc>
        <w:tc>
          <w:tcPr>
            <w:tcW w:w="1186" w:type="dxa"/>
          </w:tcPr>
          <w:p>
            <w:pPr>
              <w:pStyle w:val="5"/>
              <w:ind w:firstLine="0" w:firstLineChars="0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25" w:type="dxa"/>
          </w:tcPr>
          <w:p>
            <w:pPr>
              <w:pStyle w:val="5"/>
              <w:ind w:firstLine="0" w:firstLineChars="0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2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100242301</w:t>
            </w:r>
          </w:p>
        </w:tc>
        <w:tc>
          <w:tcPr>
            <w:tcW w:w="2500" w:type="dxa"/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kern w:val="0"/>
                <w:szCs w:val="21"/>
              </w:rPr>
              <w:t xml:space="preserve">日语应用实训I  </w:t>
            </w:r>
          </w:p>
        </w:tc>
        <w:tc>
          <w:tcPr>
            <w:tcW w:w="1186" w:type="dxa"/>
          </w:tcPr>
          <w:p>
            <w:pPr>
              <w:pStyle w:val="5"/>
              <w:ind w:firstLine="0" w:firstLineChars="0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25" w:type="dxa"/>
          </w:tcPr>
          <w:p>
            <w:pPr>
              <w:pStyle w:val="5"/>
              <w:ind w:firstLine="0" w:firstLineChars="0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2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100242302</w:t>
            </w:r>
          </w:p>
        </w:tc>
        <w:tc>
          <w:tcPr>
            <w:tcW w:w="2500" w:type="dxa"/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kern w:val="0"/>
                <w:szCs w:val="21"/>
              </w:rPr>
              <w:t>现代日语语法</w:t>
            </w:r>
          </w:p>
        </w:tc>
        <w:tc>
          <w:tcPr>
            <w:tcW w:w="1186" w:type="dxa"/>
          </w:tcPr>
          <w:p>
            <w:pPr>
              <w:pStyle w:val="5"/>
              <w:ind w:firstLine="0" w:firstLineChars="0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25" w:type="dxa"/>
          </w:tcPr>
          <w:p>
            <w:pPr>
              <w:pStyle w:val="5"/>
              <w:ind w:firstLine="0" w:firstLineChars="0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2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99901498</w:t>
            </w:r>
          </w:p>
        </w:tc>
        <w:tc>
          <w:tcPr>
            <w:tcW w:w="2500" w:type="dxa"/>
            <w:vAlign w:val="center"/>
          </w:tcPr>
          <w:p>
            <w:pPr>
              <w:widowControl/>
              <w:jc w:val="left"/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kern w:val="0"/>
                <w:szCs w:val="21"/>
                <w:lang w:val="en-US" w:eastAsia="zh-CN"/>
              </w:rPr>
              <w:t>中级日语视听说</w:t>
            </w:r>
          </w:p>
        </w:tc>
        <w:tc>
          <w:tcPr>
            <w:tcW w:w="1186" w:type="dxa"/>
          </w:tcPr>
          <w:p>
            <w:pPr>
              <w:pStyle w:val="5"/>
              <w:ind w:firstLine="0" w:firstLineChars="0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25" w:type="dxa"/>
          </w:tcPr>
          <w:p>
            <w:pPr>
              <w:pStyle w:val="5"/>
              <w:ind w:firstLine="0" w:firstLineChars="0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2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99901457</w:t>
            </w:r>
          </w:p>
        </w:tc>
        <w:tc>
          <w:tcPr>
            <w:tcW w:w="2500" w:type="dxa"/>
            <w:vAlign w:val="center"/>
          </w:tcPr>
          <w:p>
            <w:pPr>
              <w:widowControl/>
              <w:jc w:val="left"/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kern w:val="0"/>
                <w:szCs w:val="21"/>
                <w:lang w:val="en-US" w:eastAsia="zh-CN"/>
              </w:rPr>
              <w:t>近代日本社会变革</w:t>
            </w:r>
          </w:p>
        </w:tc>
        <w:tc>
          <w:tcPr>
            <w:tcW w:w="1186" w:type="dxa"/>
          </w:tcPr>
          <w:p>
            <w:pPr>
              <w:pStyle w:val="5"/>
              <w:ind w:firstLine="0" w:firstLineChars="0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25" w:type="dxa"/>
          </w:tcPr>
          <w:p>
            <w:pPr>
              <w:pStyle w:val="5"/>
              <w:ind w:firstLine="0" w:firstLineChars="0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2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99901467</w:t>
            </w:r>
          </w:p>
        </w:tc>
        <w:tc>
          <w:tcPr>
            <w:tcW w:w="2500" w:type="dxa"/>
            <w:vAlign w:val="center"/>
          </w:tcPr>
          <w:p>
            <w:pPr>
              <w:widowControl/>
              <w:jc w:val="left"/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kern w:val="0"/>
                <w:szCs w:val="21"/>
                <w:lang w:val="en-US" w:eastAsia="zh-CN"/>
              </w:rPr>
              <w:t>日本工匠文化的传承与嬗变</w:t>
            </w:r>
          </w:p>
        </w:tc>
        <w:tc>
          <w:tcPr>
            <w:tcW w:w="1186" w:type="dxa"/>
          </w:tcPr>
          <w:p>
            <w:pPr>
              <w:pStyle w:val="5"/>
              <w:ind w:firstLine="0" w:firstLineChars="0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25" w:type="dxa"/>
          </w:tcPr>
          <w:p>
            <w:pPr>
              <w:pStyle w:val="5"/>
              <w:ind w:firstLine="0" w:firstLineChars="0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2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99901458</w:t>
            </w:r>
          </w:p>
        </w:tc>
        <w:tc>
          <w:tcPr>
            <w:tcW w:w="2500" w:type="dxa"/>
            <w:vAlign w:val="center"/>
          </w:tcPr>
          <w:p>
            <w:pPr>
              <w:widowControl/>
              <w:jc w:val="left"/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kern w:val="0"/>
                <w:szCs w:val="21"/>
                <w:lang w:val="en-US" w:eastAsia="zh-CN"/>
              </w:rPr>
              <w:t>中日文化交流史</w:t>
            </w:r>
          </w:p>
        </w:tc>
        <w:tc>
          <w:tcPr>
            <w:tcW w:w="1186" w:type="dxa"/>
          </w:tcPr>
          <w:p>
            <w:pPr>
              <w:pStyle w:val="5"/>
              <w:ind w:firstLine="0" w:firstLineChars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25" w:type="dxa"/>
          </w:tcPr>
          <w:p>
            <w:pPr>
              <w:pStyle w:val="5"/>
              <w:ind w:firstLine="0" w:firstLineChars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2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99900951</w:t>
            </w:r>
          </w:p>
        </w:tc>
        <w:tc>
          <w:tcPr>
            <w:tcW w:w="2500" w:type="dxa"/>
            <w:vAlign w:val="center"/>
          </w:tcPr>
          <w:p>
            <w:pPr>
              <w:widowControl/>
              <w:jc w:val="left"/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kern w:val="0"/>
                <w:szCs w:val="21"/>
                <w:lang w:val="en-US" w:eastAsia="zh-CN"/>
              </w:rPr>
              <w:t>日本历史与文化</w:t>
            </w:r>
          </w:p>
        </w:tc>
        <w:tc>
          <w:tcPr>
            <w:tcW w:w="1186" w:type="dxa"/>
          </w:tcPr>
          <w:p>
            <w:pPr>
              <w:pStyle w:val="5"/>
              <w:ind w:firstLine="0" w:firstLineChars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25" w:type="dxa"/>
          </w:tcPr>
          <w:p>
            <w:pPr>
              <w:pStyle w:val="5"/>
              <w:ind w:firstLine="0" w:firstLineChars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2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99900952</w:t>
            </w:r>
          </w:p>
        </w:tc>
        <w:tc>
          <w:tcPr>
            <w:tcW w:w="2500" w:type="dxa"/>
            <w:vAlign w:val="center"/>
          </w:tcPr>
          <w:p>
            <w:pPr>
              <w:widowControl/>
              <w:jc w:val="left"/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kern w:val="0"/>
                <w:szCs w:val="21"/>
                <w:lang w:val="en-US" w:eastAsia="zh-CN"/>
              </w:rPr>
              <w:t>近代日本的中国观察</w:t>
            </w:r>
          </w:p>
        </w:tc>
        <w:tc>
          <w:tcPr>
            <w:tcW w:w="1186" w:type="dxa"/>
          </w:tcPr>
          <w:p>
            <w:pPr>
              <w:pStyle w:val="5"/>
              <w:ind w:firstLine="0" w:firstLineChars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25" w:type="dxa"/>
          </w:tcPr>
          <w:p>
            <w:pPr>
              <w:pStyle w:val="5"/>
              <w:ind w:firstLine="0" w:firstLineChars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2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99901489</w:t>
            </w:r>
          </w:p>
        </w:tc>
        <w:tc>
          <w:tcPr>
            <w:tcW w:w="2500" w:type="dxa"/>
            <w:vAlign w:val="center"/>
          </w:tcPr>
          <w:p>
            <w:pPr>
              <w:widowControl/>
              <w:jc w:val="left"/>
              <w:rPr>
                <w:rFonts w:hint="eastAsia" w:ascii="Tahoma" w:hAnsi="Tahoma" w:eastAsia="宋体" w:cs="Tahoma"/>
                <w:kern w:val="0"/>
                <w:szCs w:val="21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kern w:val="0"/>
                <w:szCs w:val="21"/>
                <w:lang w:val="en-US" w:eastAsia="zh-CN"/>
              </w:rPr>
              <w:t>日本流行文化与社会</w:t>
            </w:r>
          </w:p>
        </w:tc>
        <w:tc>
          <w:tcPr>
            <w:tcW w:w="1186" w:type="dxa"/>
          </w:tcPr>
          <w:p>
            <w:pPr>
              <w:pStyle w:val="5"/>
              <w:ind w:firstLine="0" w:firstLineChars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25" w:type="dxa"/>
          </w:tcPr>
          <w:p>
            <w:pPr>
              <w:pStyle w:val="5"/>
              <w:ind w:firstLine="0" w:firstLineChars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选修</w:t>
            </w:r>
          </w:p>
        </w:tc>
      </w:tr>
    </w:tbl>
    <w:p>
      <w:pPr>
        <w:pStyle w:val="5"/>
        <w:ind w:firstLine="560"/>
        <w:rPr>
          <w:rFonts w:ascii="楷体_GB2312" w:hAnsi="宋体" w:eastAsia="楷体_GB2312" w:cs="宋体"/>
          <w:b/>
          <w:color w:val="333333"/>
          <w:kern w:val="0"/>
          <w:sz w:val="28"/>
          <w:szCs w:val="28"/>
        </w:rPr>
      </w:pPr>
    </w:p>
    <w:p>
      <w:pPr>
        <w:pStyle w:val="5"/>
        <w:widowControl/>
        <w:numPr>
          <w:ilvl w:val="0"/>
          <w:numId w:val="1"/>
        </w:numPr>
        <w:ind w:firstLineChars="0"/>
        <w:jc w:val="left"/>
        <w:rPr>
          <w:rFonts w:ascii="楷体_GB2312" w:hAnsi="宋体" w:eastAsia="楷体_GB2312" w:cs="宋体"/>
          <w:b/>
          <w:color w:val="333333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b/>
          <w:color w:val="333333"/>
          <w:kern w:val="0"/>
          <w:sz w:val="28"/>
          <w:szCs w:val="28"/>
        </w:rPr>
        <w:t>其他</w:t>
      </w:r>
    </w:p>
    <w:p>
      <w:pPr>
        <w:widowControl/>
        <w:shd w:val="clear" w:color="auto" w:fill="FFFFFF"/>
        <w:jc w:val="left"/>
        <w:rPr>
          <w:rFonts w:hint="default" w:ascii="宋体" w:hAnsi="宋体" w:eastAsia="宋体" w:cs="Arial"/>
          <w:color w:val="191919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Arial"/>
          <w:color w:val="191919"/>
          <w:kern w:val="0"/>
          <w:sz w:val="24"/>
          <w:szCs w:val="24"/>
        </w:rPr>
        <w:t>1、修满日语辅修规定课程</w:t>
      </w:r>
      <w:r>
        <w:rPr>
          <w:rFonts w:hint="eastAsia" w:ascii="宋体" w:hAnsi="宋体" w:eastAsia="宋体" w:cs="Arial"/>
          <w:color w:val="191919"/>
          <w:kern w:val="0"/>
          <w:sz w:val="24"/>
          <w:szCs w:val="24"/>
        </w:rPr>
        <w:t>30</w:t>
      </w:r>
      <w:r>
        <w:rPr>
          <w:rFonts w:ascii="宋体" w:hAnsi="宋体" w:eastAsia="宋体" w:cs="Arial"/>
          <w:color w:val="191919"/>
          <w:kern w:val="0"/>
          <w:sz w:val="24"/>
          <w:szCs w:val="24"/>
        </w:rPr>
        <w:t>个学分</w:t>
      </w:r>
      <w:r>
        <w:rPr>
          <w:rFonts w:hint="eastAsia" w:ascii="宋体" w:hAnsi="宋体" w:eastAsia="宋体" w:cs="Arial"/>
          <w:color w:val="191919"/>
          <w:kern w:val="0"/>
          <w:sz w:val="24"/>
          <w:szCs w:val="24"/>
        </w:rPr>
        <w:t>，</w:t>
      </w:r>
      <w:r>
        <w:rPr>
          <w:rFonts w:ascii="宋体" w:hAnsi="宋体" w:eastAsia="宋体" w:cs="Arial"/>
          <w:color w:val="191919"/>
          <w:kern w:val="0"/>
          <w:sz w:val="24"/>
          <w:szCs w:val="24"/>
        </w:rPr>
        <w:t>可获得学校颁发的日语</w:t>
      </w:r>
      <w:r>
        <w:rPr>
          <w:rFonts w:hint="eastAsia" w:ascii="宋体" w:hAnsi="宋体" w:eastAsia="宋体" w:cs="Arial"/>
          <w:color w:val="191919"/>
          <w:kern w:val="0"/>
          <w:sz w:val="24"/>
          <w:szCs w:val="24"/>
        </w:rPr>
        <w:t>《</w:t>
      </w:r>
      <w:r>
        <w:rPr>
          <w:rFonts w:ascii="宋体" w:hAnsi="宋体" w:eastAsia="宋体" w:cs="Arial"/>
          <w:color w:val="191919"/>
          <w:kern w:val="0"/>
          <w:sz w:val="24"/>
          <w:szCs w:val="24"/>
        </w:rPr>
        <w:t>辅修专业</w:t>
      </w:r>
      <w:r>
        <w:rPr>
          <w:rFonts w:hint="eastAsia" w:ascii="宋体" w:hAnsi="宋体" w:eastAsia="宋体" w:cs="Arial"/>
          <w:color w:val="191919"/>
          <w:kern w:val="0"/>
          <w:sz w:val="24"/>
          <w:szCs w:val="24"/>
        </w:rPr>
        <w:t>证书》</w:t>
      </w:r>
      <w:r>
        <w:rPr>
          <w:rFonts w:ascii="宋体" w:hAnsi="宋体" w:eastAsia="宋体" w:cs="Arial"/>
          <w:color w:val="191919"/>
          <w:kern w:val="0"/>
          <w:sz w:val="24"/>
          <w:szCs w:val="24"/>
        </w:rPr>
        <w:t>。</w:t>
      </w:r>
      <w:r>
        <w:rPr>
          <w:rFonts w:hint="eastAsia" w:ascii="宋体" w:hAnsi="宋体" w:eastAsia="宋体" w:cs="Arial"/>
          <w:color w:val="191919"/>
          <w:kern w:val="0"/>
          <w:sz w:val="24"/>
          <w:szCs w:val="24"/>
          <w:lang w:val="en-US" w:eastAsia="zh-CN"/>
        </w:rPr>
        <w:t>在选择课程时，可以只选基础日语</w:t>
      </w:r>
      <w:r>
        <w:rPr>
          <w:rFonts w:hint="eastAsia" w:ascii="宋体" w:hAnsi="宋体" w:eastAsia="MS Mincho" w:cs="Arial"/>
          <w:color w:val="191919"/>
          <w:kern w:val="0"/>
          <w:sz w:val="24"/>
          <w:szCs w:val="24"/>
          <w:lang w:val="en-US" w:eastAsia="ja-JP"/>
        </w:rPr>
        <w:t>Ⅰ</w:t>
      </w:r>
      <w:r>
        <w:rPr>
          <w:rFonts w:hint="eastAsia" w:ascii="宋体" w:hAnsi="宋体" w:eastAsia="宋体" w:cs="Arial"/>
          <w:color w:val="191919"/>
          <w:kern w:val="0"/>
          <w:sz w:val="24"/>
          <w:szCs w:val="24"/>
          <w:lang w:val="en-US" w:eastAsia="zh-CN"/>
        </w:rPr>
        <w:t>+基础日语</w:t>
      </w:r>
      <w:r>
        <w:rPr>
          <w:rFonts w:hint="eastAsia" w:ascii="宋体" w:hAnsi="宋体" w:eastAsia="MS Mincho" w:cs="Arial"/>
          <w:color w:val="191919"/>
          <w:kern w:val="0"/>
          <w:sz w:val="24"/>
          <w:szCs w:val="24"/>
          <w:lang w:val="en-US" w:eastAsia="ja-JP"/>
        </w:rPr>
        <w:t>Ⅱ</w:t>
      </w:r>
      <w:r>
        <w:rPr>
          <w:rFonts w:hint="eastAsia" w:ascii="宋体" w:hAnsi="宋体" w:eastAsia="宋体" w:cs="Arial"/>
          <w:color w:val="191919"/>
          <w:kern w:val="0"/>
          <w:sz w:val="24"/>
          <w:szCs w:val="24"/>
          <w:lang w:val="en-US" w:eastAsia="zh-CN"/>
        </w:rPr>
        <w:t>。也可以选择基础日语</w:t>
      </w:r>
      <w:r>
        <w:rPr>
          <w:rFonts w:hint="eastAsia" w:ascii="宋体" w:hAnsi="宋体" w:eastAsia="MS Mincho" w:cs="Arial"/>
          <w:color w:val="191919"/>
          <w:kern w:val="0"/>
          <w:sz w:val="24"/>
          <w:szCs w:val="24"/>
          <w:lang w:val="en-US" w:eastAsia="ja-JP"/>
        </w:rPr>
        <w:t>Ⅰ</w:t>
      </w:r>
      <w:r>
        <w:rPr>
          <w:rFonts w:hint="eastAsia" w:ascii="宋体" w:hAnsi="宋体" w:eastAsia="宋体" w:cs="Arial"/>
          <w:color w:val="191919"/>
          <w:kern w:val="0"/>
          <w:sz w:val="24"/>
          <w:szCs w:val="24"/>
          <w:lang w:val="en-US" w:eastAsia="zh-CN"/>
        </w:rPr>
        <w:t>+14学分的选修课，或者基础日语</w:t>
      </w:r>
      <w:r>
        <w:rPr>
          <w:rFonts w:hint="eastAsia" w:ascii="宋体" w:hAnsi="宋体" w:eastAsia="MS Mincho" w:cs="Arial"/>
          <w:color w:val="191919"/>
          <w:kern w:val="0"/>
          <w:sz w:val="24"/>
          <w:szCs w:val="24"/>
          <w:lang w:val="en-US" w:eastAsia="ja-JP"/>
        </w:rPr>
        <w:t>Ⅱ</w:t>
      </w:r>
      <w:r>
        <w:rPr>
          <w:rFonts w:hint="eastAsia" w:ascii="宋体" w:hAnsi="宋体" w:eastAsia="宋体" w:cs="Arial"/>
          <w:color w:val="191919"/>
          <w:kern w:val="0"/>
          <w:sz w:val="24"/>
          <w:szCs w:val="24"/>
          <w:lang w:val="en-US" w:eastAsia="zh-CN"/>
        </w:rPr>
        <w:t>+16学分的选修课。</w: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Arial"/>
          <w:color w:val="191919"/>
          <w:kern w:val="0"/>
          <w:sz w:val="24"/>
          <w:szCs w:val="24"/>
        </w:rPr>
        <w:t>2、</w:t>
      </w:r>
      <w:r>
        <w:rPr>
          <w:rFonts w:hint="eastAsia" w:ascii="宋体" w:hAnsi="宋体" w:eastAsia="宋体" w:cs="Times New Roman"/>
          <w:sz w:val="24"/>
          <w:szCs w:val="24"/>
        </w:rPr>
        <w:t>仅</w:t>
      </w:r>
      <w:r>
        <w:rPr>
          <w:rFonts w:ascii="宋体" w:hAnsi="宋体" w:eastAsia="宋体" w:cs="Times New Roman"/>
          <w:sz w:val="24"/>
          <w:szCs w:val="24"/>
        </w:rPr>
        <w:t>完成</w:t>
      </w:r>
      <w:r>
        <w:rPr>
          <w:rFonts w:hint="eastAsia" w:ascii="宋体" w:hAnsi="宋体" w:eastAsia="宋体" w:cs="Times New Roman"/>
          <w:sz w:val="24"/>
          <w:szCs w:val="24"/>
        </w:rPr>
        <w:t>辅修</w:t>
      </w:r>
      <w:r>
        <w:rPr>
          <w:rFonts w:ascii="宋体" w:hAnsi="宋体" w:eastAsia="宋体" w:cs="Times New Roman"/>
          <w:sz w:val="24"/>
          <w:szCs w:val="24"/>
        </w:rPr>
        <w:t>专业教学计划</w:t>
      </w:r>
      <w:r>
        <w:rPr>
          <w:rFonts w:hint="eastAsia" w:ascii="宋体" w:hAnsi="宋体" w:eastAsia="宋体" w:cs="Times New Roman"/>
          <w:sz w:val="24"/>
          <w:szCs w:val="24"/>
        </w:rPr>
        <w:t>部分</w:t>
      </w:r>
      <w:r>
        <w:rPr>
          <w:rFonts w:ascii="宋体" w:hAnsi="宋体" w:eastAsia="宋体" w:cs="Times New Roman"/>
          <w:sz w:val="24"/>
          <w:szCs w:val="24"/>
        </w:rPr>
        <w:t>课程</w:t>
      </w:r>
      <w:r>
        <w:rPr>
          <w:rFonts w:hint="eastAsia" w:ascii="宋体" w:hAnsi="宋体" w:eastAsia="宋体" w:cs="Times New Roman"/>
          <w:sz w:val="24"/>
          <w:szCs w:val="24"/>
        </w:rPr>
        <w:t>者</w:t>
      </w:r>
      <w:r>
        <w:rPr>
          <w:rFonts w:ascii="宋体" w:hAnsi="宋体" w:eastAsia="宋体" w:cs="Times New Roman"/>
          <w:sz w:val="24"/>
          <w:szCs w:val="24"/>
        </w:rPr>
        <w:t>，不能获得辅修专业证书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但针对</w:t>
      </w:r>
      <w:r>
        <w:rPr>
          <w:rFonts w:hint="eastAsia" w:ascii="宋体" w:hAnsi="宋体" w:eastAsia="宋体" w:cs="Times New Roman"/>
          <w:sz w:val="24"/>
          <w:szCs w:val="24"/>
        </w:rPr>
        <w:t>已辅修</w:t>
      </w:r>
      <w:r>
        <w:rPr>
          <w:rFonts w:ascii="宋体" w:hAnsi="宋体" w:eastAsia="宋体" w:cs="Times New Roman"/>
          <w:sz w:val="24"/>
          <w:szCs w:val="24"/>
        </w:rPr>
        <w:t>课程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可以出具课程证明。</w:t>
      </w:r>
    </w:p>
    <w:p>
      <w:pPr>
        <w:widowControl/>
        <w:shd w:val="clear" w:color="auto" w:fill="FFFFFF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3、非零起点的日语学习者必须经过本系的考核才能选课。</w:t>
      </w:r>
    </w:p>
    <w:p>
      <w:pPr>
        <w:widowControl/>
        <w:shd w:val="clear" w:color="auto" w:fill="FFFFFF"/>
        <w:jc w:val="left"/>
        <w:rPr>
          <w:rFonts w:ascii="宋体" w:hAnsi="宋体" w:eastAsia="宋体" w:cs="Arial"/>
          <w:color w:val="191919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191919"/>
          <w:kern w:val="0"/>
          <w:sz w:val="24"/>
          <w:szCs w:val="24"/>
        </w:rPr>
        <w:t>4、</w:t>
      </w:r>
      <w:r>
        <w:rPr>
          <w:rFonts w:ascii="宋体" w:hAnsi="宋体" w:eastAsia="宋体" w:cs="Arial"/>
          <w:color w:val="191919"/>
          <w:kern w:val="0"/>
          <w:sz w:val="24"/>
          <w:szCs w:val="24"/>
        </w:rPr>
        <w:t>应在学校规定的</w:t>
      </w:r>
      <w:bookmarkStart w:id="0" w:name="_GoBack"/>
      <w:bookmarkEnd w:id="0"/>
      <w:r>
        <w:rPr>
          <w:rFonts w:ascii="宋体" w:hAnsi="宋体" w:eastAsia="宋体" w:cs="Arial"/>
          <w:color w:val="191919"/>
          <w:kern w:val="0"/>
          <w:sz w:val="24"/>
          <w:szCs w:val="24"/>
        </w:rPr>
        <w:t>学制</w:t>
      </w:r>
      <w:r>
        <w:rPr>
          <w:rFonts w:ascii="宋体" w:hAnsi="宋体" w:eastAsia="宋体" w:cs="Arial"/>
          <w:kern w:val="0"/>
          <w:sz w:val="24"/>
          <w:szCs w:val="24"/>
        </w:rPr>
        <w:t>（</w:t>
      </w:r>
      <w:r>
        <w:rPr>
          <w:rFonts w:hint="eastAsia" w:ascii="宋体" w:hAnsi="宋体" w:eastAsia="宋体" w:cs="Arial"/>
          <w:kern w:val="0"/>
          <w:sz w:val="24"/>
          <w:szCs w:val="24"/>
        </w:rPr>
        <w:t>4</w:t>
      </w:r>
      <w:r>
        <w:rPr>
          <w:rFonts w:ascii="宋体" w:hAnsi="宋体" w:eastAsia="宋体" w:cs="Arial"/>
          <w:kern w:val="0"/>
          <w:sz w:val="24"/>
          <w:szCs w:val="24"/>
        </w:rPr>
        <w:t>年内</w:t>
      </w:r>
      <w:r>
        <w:rPr>
          <w:rFonts w:ascii="宋体" w:hAnsi="宋体" w:eastAsia="宋体" w:cs="Arial"/>
          <w:color w:val="191919"/>
          <w:kern w:val="0"/>
          <w:sz w:val="24"/>
          <w:szCs w:val="24"/>
        </w:rPr>
        <w:t>）完成辅修专业课程，修满培养计划规定的课程学分。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5、拟接收名额：10</w:t>
      </w:r>
      <w:r>
        <w:rPr>
          <w:rFonts w:hint="eastAsia" w:ascii="宋体" w:hAnsi="宋体" w:eastAsia="宋体" w:cs="宋体"/>
          <w:kern w:val="0"/>
          <w:sz w:val="24"/>
          <w:szCs w:val="24"/>
        </w:rPr>
        <w:t>人/年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E5C68"/>
    <w:multiLevelType w:val="multilevel"/>
    <w:tmpl w:val="6C2E5C68"/>
    <w:lvl w:ilvl="0" w:tentative="0">
      <w:start w:val="1"/>
      <w:numFmt w:val="japaneseCounting"/>
      <w:lvlText w:val="%1、"/>
      <w:lvlJc w:val="left"/>
      <w:pPr>
        <w:ind w:left="99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10" w:hanging="420"/>
      </w:pPr>
    </w:lvl>
    <w:lvl w:ilvl="2" w:tentative="0">
      <w:start w:val="1"/>
      <w:numFmt w:val="lowerRoman"/>
      <w:lvlText w:val="%3."/>
      <w:lvlJc w:val="right"/>
      <w:pPr>
        <w:ind w:left="1530" w:hanging="420"/>
      </w:pPr>
    </w:lvl>
    <w:lvl w:ilvl="3" w:tentative="0">
      <w:start w:val="1"/>
      <w:numFmt w:val="decimal"/>
      <w:lvlText w:val="%4."/>
      <w:lvlJc w:val="left"/>
      <w:pPr>
        <w:ind w:left="1950" w:hanging="420"/>
      </w:pPr>
    </w:lvl>
    <w:lvl w:ilvl="4" w:tentative="0">
      <w:start w:val="1"/>
      <w:numFmt w:val="lowerLetter"/>
      <w:lvlText w:val="%5)"/>
      <w:lvlJc w:val="left"/>
      <w:pPr>
        <w:ind w:left="2370" w:hanging="420"/>
      </w:pPr>
    </w:lvl>
    <w:lvl w:ilvl="5" w:tentative="0">
      <w:start w:val="1"/>
      <w:numFmt w:val="lowerRoman"/>
      <w:lvlText w:val="%6."/>
      <w:lvlJc w:val="right"/>
      <w:pPr>
        <w:ind w:left="2790" w:hanging="420"/>
      </w:pPr>
    </w:lvl>
    <w:lvl w:ilvl="6" w:tentative="0">
      <w:start w:val="1"/>
      <w:numFmt w:val="decimal"/>
      <w:lvlText w:val="%7."/>
      <w:lvlJc w:val="left"/>
      <w:pPr>
        <w:ind w:left="3210" w:hanging="420"/>
      </w:pPr>
    </w:lvl>
    <w:lvl w:ilvl="7" w:tentative="0">
      <w:start w:val="1"/>
      <w:numFmt w:val="lowerLetter"/>
      <w:lvlText w:val="%8)"/>
      <w:lvlJc w:val="left"/>
      <w:pPr>
        <w:ind w:left="3630" w:hanging="420"/>
      </w:pPr>
    </w:lvl>
    <w:lvl w:ilvl="8" w:tentative="0">
      <w:start w:val="1"/>
      <w:numFmt w:val="lowerRoman"/>
      <w:lvlText w:val="%9."/>
      <w:lvlJc w:val="right"/>
      <w:pPr>
        <w:ind w:left="40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C654A"/>
    <w:rsid w:val="25EA789C"/>
    <w:rsid w:val="324E338F"/>
    <w:rsid w:val="34D86696"/>
    <w:rsid w:val="3EA4085B"/>
    <w:rsid w:val="575D291C"/>
    <w:rsid w:val="5E4B1AAE"/>
    <w:rsid w:val="5EAC654A"/>
    <w:rsid w:val="698F3B88"/>
    <w:rsid w:val="6CB978D7"/>
    <w:rsid w:val="73EC3CD5"/>
    <w:rsid w:val="7E1A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2020-11-17T07:34:00Z</dcterms:created>
  <dc:creator>恋上冬日阳光</dc:creator>
  <cp:lastModifiedBy>恋上冬日阳光</cp:lastModifiedBy>
  <dcterms:modified xsi:type="dcterms:W3CDTF">2020-11-17T08:13:16Z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