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法学院辅修专业说明</w:t>
      </w:r>
    </w:p>
    <w:p>
      <w:pPr>
        <w:jc w:val="center"/>
        <w:rPr>
          <w:rFonts w:ascii="仿宋_GB2312" w:eastAsia="仿宋_GB2312"/>
          <w:sz w:val="30"/>
          <w:szCs w:val="30"/>
        </w:rPr>
      </w:pP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9"/>
        <w:gridCol w:w="2382"/>
        <w:gridCol w:w="1359"/>
        <w:gridCol w:w="28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17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学院</w:t>
            </w:r>
          </w:p>
        </w:tc>
        <w:tc>
          <w:tcPr>
            <w:tcW w:w="23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法学院</w:t>
            </w:r>
          </w:p>
        </w:tc>
        <w:tc>
          <w:tcPr>
            <w:tcW w:w="1359" w:type="dxa"/>
            <w:tcBorders>
              <w:top w:val="outset" w:color="auto" w:sz="6" w:space="0"/>
              <w:left w:val="outset" w:color="auto" w:sz="6" w:space="0"/>
              <w:bottom w:val="outset" w:color="auto" w:sz="6" w:space="0"/>
              <w:right w:val="outset" w:color="auto" w:sz="6" w:space="0"/>
            </w:tcBorders>
            <w:vAlign w:val="center"/>
          </w:tcPr>
          <w:p>
            <w:pPr>
              <w:widowControl/>
              <w:ind w:firstLine="14"/>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专业</w:t>
            </w:r>
          </w:p>
        </w:tc>
        <w:tc>
          <w:tcPr>
            <w:tcW w:w="286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法学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7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专业容量</w:t>
            </w:r>
          </w:p>
        </w:tc>
        <w:tc>
          <w:tcPr>
            <w:tcW w:w="23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30人</w:t>
            </w:r>
          </w:p>
        </w:tc>
        <w:tc>
          <w:tcPr>
            <w:tcW w:w="1359" w:type="dxa"/>
            <w:tcBorders>
              <w:top w:val="outset" w:color="auto" w:sz="6" w:space="0"/>
              <w:left w:val="outset" w:color="auto" w:sz="6" w:space="0"/>
              <w:bottom w:val="outset" w:color="auto" w:sz="6" w:space="0"/>
              <w:right w:val="outset" w:color="auto" w:sz="6" w:space="0"/>
            </w:tcBorders>
            <w:vAlign w:val="center"/>
          </w:tcPr>
          <w:p>
            <w:pPr>
              <w:widowControl/>
              <w:ind w:firstLine="14"/>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与本专业相近专业</w:t>
            </w:r>
          </w:p>
        </w:tc>
        <w:tc>
          <w:tcPr>
            <w:tcW w:w="286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8322" w:type="dxa"/>
            <w:gridSpan w:val="4"/>
            <w:tcBorders>
              <w:top w:val="outset" w:color="auto" w:sz="6" w:space="0"/>
              <w:left w:val="outset" w:color="auto" w:sz="6" w:space="0"/>
              <w:bottom w:val="outset" w:color="auto" w:sz="6" w:space="0"/>
              <w:right w:val="outset" w:color="auto" w:sz="6" w:space="0"/>
            </w:tcBorders>
          </w:tcPr>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一、专业简介</w:t>
            </w:r>
          </w:p>
          <w:p>
            <w:pPr>
              <w:widowControl/>
              <w:ind w:firstLine="560" w:firstLineChars="2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北京理工大学法学院现已形成法学本科、双学位、法学一级学科硕士学位、法律硕士专业学位、法学一级学科博士学位授权及法学博士后流动站一系列完整的人才培养体系。法学专业获评2020年国家级一流本科专业建设点。本专业基于国家“卓越法治人才”培养目标，依靠北京理工大学背景，在课程设计中（1）实行“基础与特色相结合”，在掌握基本法学理论和知识前提下，形成以知识产权为特色的民商法学，以空间法为特色的国际法学，以司法制度为特色的诉讼法学等学科体系。（2）实行“理论与实务相结合”，在秉承法学教育特点，构建校内校外联合培养机制前提下，加强对学生法律职业能力的培养。</w:t>
            </w:r>
          </w:p>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二、培养目标</w:t>
            </w:r>
          </w:p>
          <w:p>
            <w:pPr>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专业根据教育部法学专业教学指导委员会的统一要求，依据应用型、复合型、创新型“卓越法治人才”培养目标，培养系统掌握法学基础知识和基本技能，熟悉我国法律和司法政策，了解外国法律和法学动态，有较强的分析和解决法律实际问题能力，适应国家法治建设需要，具备高素质的卓越法治人才。</w:t>
            </w:r>
          </w:p>
          <w:p>
            <w:pPr>
              <w:ind w:firstLine="562" w:firstLineChars="20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三、就业领域</w:t>
            </w:r>
          </w:p>
          <w:p>
            <w:pPr>
              <w:widowControl/>
              <w:ind w:firstLine="560" w:firstLineChars="20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专业毕业生除了继续深造读研，能够在国家机关、企事业单位和社会团体，尤其是立法机关、行政机关、监察机关、审判机关、检察机关、仲裁机构和其他法律服务机构，从事立法、司法、律师服务、法律顾问和其他与法律事务有关的工作。</w:t>
            </w:r>
          </w:p>
          <w:p>
            <w:pPr>
              <w:widowControl/>
              <w:ind w:firstLine="562" w:firstLineChars="20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四、培养方案（详见下表）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2905"/>
              <w:gridCol w:w="1404"/>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4" w:type="pct"/>
                </w:tcPr>
                <w:p>
                  <w:pPr>
                    <w:widowControl/>
                    <w:jc w:val="center"/>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课程代码</w:t>
                  </w:r>
                </w:p>
              </w:tc>
              <w:tc>
                <w:tcPr>
                  <w:tcW w:w="1750" w:type="pct"/>
                </w:tcPr>
                <w:p>
                  <w:pPr>
                    <w:widowControl/>
                    <w:jc w:val="center"/>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课程名称</w:t>
                  </w:r>
                </w:p>
              </w:tc>
              <w:tc>
                <w:tcPr>
                  <w:tcW w:w="846" w:type="pct"/>
                </w:tcPr>
                <w:p>
                  <w:pPr>
                    <w:widowControl/>
                    <w:jc w:val="center"/>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学分</w:t>
                  </w:r>
                </w:p>
              </w:tc>
              <w:tc>
                <w:tcPr>
                  <w:tcW w:w="1198" w:type="pct"/>
                </w:tcPr>
                <w:p>
                  <w:pPr>
                    <w:widowControl/>
                    <w:jc w:val="center"/>
                    <w:rPr>
                      <w:rFonts w:hint="eastAsia"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本学期是否开课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vAlign w:val="top"/>
                </w:tcPr>
                <w:p>
                  <w:pPr>
                    <w:widowControl/>
                    <w:jc w:val="center"/>
                    <w:rPr>
                      <w:rFonts w:hint="default"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100230076</w:t>
                  </w:r>
                </w:p>
              </w:tc>
              <w:tc>
                <w:tcPr>
                  <w:tcW w:w="1750" w:type="pct"/>
                  <w:vAlign w:val="top"/>
                </w:tcPr>
                <w:p>
                  <w:pPr>
                    <w:jc w:val="center"/>
                    <w:rPr>
                      <w:rFonts w:hint="eastAsia"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lang w:val="en-US" w:eastAsia="zh-CN"/>
                    </w:rPr>
                    <w:t>习近平法治思想概论</w:t>
                  </w:r>
                </w:p>
              </w:tc>
              <w:tc>
                <w:tcPr>
                  <w:tcW w:w="846" w:type="pct"/>
                  <w:vAlign w:val="top"/>
                </w:tcPr>
                <w:p>
                  <w:pPr>
                    <w:jc w:val="center"/>
                    <w:rPr>
                      <w:rFonts w:hint="eastAsia"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lang w:val="en-US" w:eastAsia="zh-CN"/>
                    </w:rPr>
                    <w:t>2</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vAlign w:val="top"/>
                </w:tcPr>
                <w:p>
                  <w:pPr>
                    <w:widowControl/>
                    <w:jc w:val="center"/>
                    <w:rPr>
                      <w:rFonts w:hint="default" w:ascii="宋体" w:hAnsi="宋体" w:eastAsia="宋体" w:cs="宋体"/>
                      <w:color w:val="333333"/>
                      <w:kern w:val="0"/>
                      <w:sz w:val="24"/>
                      <w:szCs w:val="24"/>
                      <w:highlight w:val="none"/>
                      <w:lang w:val="en-US" w:eastAsia="zh-CN" w:bidi="ar-SA"/>
                    </w:rPr>
                  </w:pPr>
                  <w:r>
                    <w:rPr>
                      <w:rFonts w:ascii="宋体" w:hAnsi="宋体" w:eastAsia="宋体" w:cs="宋体"/>
                      <w:color w:val="333333"/>
                      <w:kern w:val="0"/>
                      <w:sz w:val="24"/>
                      <w:szCs w:val="24"/>
                      <w:highlight w:val="none"/>
                    </w:rPr>
                    <w:t>103230072</w:t>
                  </w:r>
                </w:p>
              </w:tc>
              <w:tc>
                <w:tcPr>
                  <w:tcW w:w="1750" w:type="pct"/>
                  <w:vAlign w:val="top"/>
                </w:tcPr>
                <w:p>
                  <w:pPr>
                    <w:jc w:val="center"/>
                    <w:rPr>
                      <w:rFonts w:hint="default"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rPr>
                    <w:t>法理学</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研究型</w:t>
                  </w:r>
                  <w:r>
                    <w:rPr>
                      <w:rFonts w:hint="eastAsia" w:ascii="宋体" w:hAnsi="宋体" w:eastAsia="宋体"/>
                      <w:sz w:val="24"/>
                      <w:szCs w:val="24"/>
                      <w:highlight w:val="none"/>
                      <w:lang w:eastAsia="zh-CN"/>
                    </w:rPr>
                    <w:t>）</w:t>
                  </w:r>
                </w:p>
              </w:tc>
              <w:tc>
                <w:tcPr>
                  <w:tcW w:w="846" w:type="pct"/>
                  <w:vAlign w:val="top"/>
                </w:tcPr>
                <w:p>
                  <w:pPr>
                    <w:jc w:val="center"/>
                    <w:rPr>
                      <w:rFonts w:hint="eastAsia" w:ascii="宋体" w:hAnsi="宋体" w:eastAsia="宋体" w:cstheme="minorBidi"/>
                      <w:kern w:val="2"/>
                      <w:sz w:val="24"/>
                      <w:szCs w:val="24"/>
                      <w:highlight w:val="none"/>
                      <w:lang w:val="en-US" w:eastAsia="zh-CN" w:bidi="ar-SA"/>
                    </w:rPr>
                  </w:pPr>
                  <w:r>
                    <w:rPr>
                      <w:rFonts w:hint="eastAsia" w:ascii="宋体" w:hAnsi="宋体" w:eastAsia="宋体"/>
                      <w:sz w:val="24"/>
                      <w:szCs w:val="24"/>
                      <w:highlight w:val="none"/>
                    </w:rPr>
                    <w:t>3</w:t>
                  </w:r>
                </w:p>
              </w:tc>
              <w:tc>
                <w:tcPr>
                  <w:tcW w:w="1198" w:type="pct"/>
                  <w:vAlign w:val="top"/>
                </w:tcPr>
                <w:p>
                  <w:pPr>
                    <w:widowControl/>
                    <w:jc w:val="center"/>
                    <w:rPr>
                      <w:rFonts w:hint="default"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103230004</w:t>
                  </w:r>
                </w:p>
              </w:tc>
              <w:tc>
                <w:tcPr>
                  <w:tcW w:w="1750" w:type="pct"/>
                </w:tcPr>
                <w:p>
                  <w:pPr>
                    <w:jc w:val="center"/>
                    <w:rPr>
                      <w:rFonts w:hint="eastAsia" w:ascii="宋体" w:hAnsi="宋体" w:eastAsia="宋体"/>
                      <w:sz w:val="24"/>
                      <w:szCs w:val="24"/>
                      <w:lang w:eastAsia="zh-CN"/>
                    </w:rPr>
                  </w:pPr>
                  <w:r>
                    <w:rPr>
                      <w:rFonts w:hint="eastAsia" w:ascii="宋体" w:hAnsi="宋体" w:eastAsia="宋体"/>
                      <w:sz w:val="24"/>
                      <w:szCs w:val="24"/>
                    </w:rPr>
                    <w:t>民法总论</w:t>
                  </w:r>
                  <w:r>
                    <w:rPr>
                      <w:rFonts w:hint="eastAsia" w:ascii="宋体" w:hAnsi="宋体" w:eastAsia="宋体"/>
                      <w:sz w:val="24"/>
                      <w:szCs w:val="24"/>
                      <w:lang w:eastAsia="zh-CN"/>
                    </w:rPr>
                    <w:t>（</w:t>
                  </w:r>
                  <w:r>
                    <w:rPr>
                      <w:rFonts w:hint="eastAsia" w:ascii="宋体" w:hAnsi="宋体" w:eastAsia="宋体"/>
                      <w:sz w:val="24"/>
                      <w:szCs w:val="24"/>
                      <w:lang w:val="en-US" w:eastAsia="zh-CN"/>
                    </w:rPr>
                    <w:t>研究型</w:t>
                  </w:r>
                  <w:r>
                    <w:rPr>
                      <w:rFonts w:hint="eastAsia" w:ascii="宋体" w:hAnsi="宋体" w:eastAsia="宋体"/>
                      <w:sz w:val="24"/>
                      <w:szCs w:val="24"/>
                      <w:lang w:eastAsia="zh-CN"/>
                    </w:rPr>
                    <w:t>）</w:t>
                  </w:r>
                </w:p>
              </w:tc>
              <w:tc>
                <w:tcPr>
                  <w:tcW w:w="846" w:type="pct"/>
                </w:tcPr>
                <w:p>
                  <w:pPr>
                    <w:jc w:val="center"/>
                    <w:rPr>
                      <w:rFonts w:ascii="宋体" w:hAnsi="宋体" w:eastAsia="宋体"/>
                      <w:sz w:val="24"/>
                      <w:szCs w:val="24"/>
                    </w:rPr>
                  </w:pPr>
                  <w:r>
                    <w:rPr>
                      <w:rFonts w:hint="eastAsia" w:ascii="宋体" w:hAnsi="宋体" w:eastAsia="宋体"/>
                      <w:sz w:val="24"/>
                      <w:szCs w:val="24"/>
                    </w:rPr>
                    <w:t>3</w:t>
                  </w:r>
                </w:p>
              </w:tc>
              <w:tc>
                <w:tcPr>
                  <w:tcW w:w="1198" w:type="pct"/>
                </w:tcPr>
                <w:p>
                  <w:pPr>
                    <w:widowControl/>
                    <w:jc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103230005</w:t>
                  </w:r>
                </w:p>
              </w:tc>
              <w:tc>
                <w:tcPr>
                  <w:tcW w:w="1750" w:type="pct"/>
                </w:tcPr>
                <w:p>
                  <w:pPr>
                    <w:jc w:val="center"/>
                    <w:rPr>
                      <w:rFonts w:hint="eastAsia" w:ascii="宋体" w:hAnsi="宋体" w:eastAsia="宋体"/>
                      <w:sz w:val="24"/>
                      <w:szCs w:val="24"/>
                      <w:lang w:eastAsia="zh-CN"/>
                    </w:rPr>
                  </w:pPr>
                  <w:r>
                    <w:rPr>
                      <w:rFonts w:hint="eastAsia" w:ascii="宋体" w:hAnsi="宋体" w:eastAsia="宋体"/>
                      <w:sz w:val="24"/>
                      <w:szCs w:val="24"/>
                    </w:rPr>
                    <w:t>刑法总论</w:t>
                  </w:r>
                  <w:r>
                    <w:rPr>
                      <w:rFonts w:hint="eastAsia" w:ascii="宋体" w:hAnsi="宋体" w:eastAsia="宋体"/>
                      <w:sz w:val="24"/>
                      <w:szCs w:val="24"/>
                      <w:lang w:eastAsia="zh-CN"/>
                    </w:rPr>
                    <w:t>（</w:t>
                  </w:r>
                  <w:r>
                    <w:rPr>
                      <w:rFonts w:hint="eastAsia" w:ascii="宋体" w:hAnsi="宋体" w:eastAsia="宋体"/>
                      <w:sz w:val="24"/>
                      <w:szCs w:val="24"/>
                      <w:lang w:val="en-US" w:eastAsia="zh-CN"/>
                    </w:rPr>
                    <w:t>研究型</w:t>
                  </w:r>
                  <w:r>
                    <w:rPr>
                      <w:rFonts w:hint="eastAsia" w:ascii="宋体" w:hAnsi="宋体" w:eastAsia="宋体"/>
                      <w:sz w:val="24"/>
                      <w:szCs w:val="24"/>
                      <w:lang w:eastAsia="zh-CN"/>
                    </w:rPr>
                    <w:t>）</w:t>
                  </w:r>
                </w:p>
              </w:tc>
              <w:tc>
                <w:tcPr>
                  <w:tcW w:w="846" w:type="pct"/>
                </w:tcPr>
                <w:p>
                  <w:pPr>
                    <w:jc w:val="center"/>
                    <w:rPr>
                      <w:rFonts w:ascii="宋体" w:hAnsi="宋体" w:eastAsia="宋体"/>
                      <w:sz w:val="24"/>
                      <w:szCs w:val="24"/>
                    </w:rPr>
                  </w:pPr>
                  <w:r>
                    <w:rPr>
                      <w:rFonts w:hint="eastAsia" w:ascii="宋体" w:hAnsi="宋体" w:eastAsia="宋体"/>
                      <w:sz w:val="24"/>
                      <w:szCs w:val="24"/>
                    </w:rPr>
                    <w:t>3</w:t>
                  </w:r>
                  <w:bookmarkStart w:id="0" w:name="_GoBack"/>
                  <w:bookmarkEnd w:id="0"/>
                </w:p>
              </w:tc>
              <w:tc>
                <w:tcPr>
                  <w:tcW w:w="1198" w:type="pct"/>
                </w:tcPr>
                <w:p>
                  <w:pPr>
                    <w:widowControl/>
                    <w:jc w:val="center"/>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100230011</w:t>
                  </w:r>
                </w:p>
              </w:tc>
              <w:tc>
                <w:tcPr>
                  <w:tcW w:w="1750" w:type="pct"/>
                </w:tcPr>
                <w:p>
                  <w:pPr>
                    <w:jc w:val="center"/>
                    <w:rPr>
                      <w:rFonts w:ascii="宋体" w:hAnsi="宋体" w:eastAsia="宋体"/>
                      <w:sz w:val="24"/>
                      <w:szCs w:val="24"/>
                    </w:rPr>
                  </w:pPr>
                  <w:r>
                    <w:rPr>
                      <w:rFonts w:hint="eastAsia" w:ascii="宋体" w:hAnsi="宋体" w:eastAsia="宋体"/>
                      <w:sz w:val="24"/>
                      <w:szCs w:val="24"/>
                    </w:rPr>
                    <w:t>行政法与行政诉讼法</w:t>
                  </w:r>
                </w:p>
              </w:tc>
              <w:tc>
                <w:tcPr>
                  <w:tcW w:w="846" w:type="pct"/>
                </w:tcPr>
                <w:p>
                  <w:pPr>
                    <w:jc w:val="center"/>
                    <w:rPr>
                      <w:rFonts w:ascii="宋体" w:hAnsi="宋体" w:eastAsia="宋体"/>
                      <w:sz w:val="24"/>
                      <w:szCs w:val="24"/>
                    </w:rPr>
                  </w:pPr>
                  <w:r>
                    <w:rPr>
                      <w:rFonts w:hint="eastAsia" w:ascii="宋体" w:hAnsi="宋体" w:eastAsia="宋体"/>
                      <w:sz w:val="24"/>
                      <w:szCs w:val="24"/>
                    </w:rPr>
                    <w:t>3</w:t>
                  </w:r>
                </w:p>
              </w:tc>
              <w:tc>
                <w:tcPr>
                  <w:tcW w:w="1198" w:type="pct"/>
                </w:tcPr>
                <w:p>
                  <w:pPr>
                    <w:widowControl/>
                    <w:jc w:val="center"/>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100230032</w:t>
                  </w:r>
                </w:p>
              </w:tc>
              <w:tc>
                <w:tcPr>
                  <w:tcW w:w="1750" w:type="pct"/>
                </w:tcPr>
                <w:p>
                  <w:pPr>
                    <w:jc w:val="center"/>
                    <w:rPr>
                      <w:rFonts w:ascii="宋体" w:hAnsi="宋体" w:eastAsia="宋体"/>
                      <w:sz w:val="24"/>
                      <w:szCs w:val="24"/>
                    </w:rPr>
                  </w:pPr>
                  <w:r>
                    <w:rPr>
                      <w:rFonts w:hint="eastAsia" w:ascii="宋体" w:hAnsi="宋体" w:eastAsia="宋体"/>
                      <w:sz w:val="24"/>
                      <w:szCs w:val="24"/>
                    </w:rPr>
                    <w:t>刑法分论</w:t>
                  </w:r>
                </w:p>
              </w:tc>
              <w:tc>
                <w:tcPr>
                  <w:tcW w:w="846" w:type="pct"/>
                </w:tcPr>
                <w:p>
                  <w:pPr>
                    <w:jc w:val="center"/>
                    <w:rPr>
                      <w:rFonts w:ascii="宋体" w:hAnsi="宋体" w:eastAsia="宋体"/>
                      <w:sz w:val="24"/>
                      <w:szCs w:val="24"/>
                    </w:rPr>
                  </w:pPr>
                  <w:r>
                    <w:rPr>
                      <w:rFonts w:hint="eastAsia" w:ascii="宋体" w:hAnsi="宋体" w:eastAsia="宋体"/>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100230004</w:t>
                  </w:r>
                </w:p>
              </w:tc>
              <w:tc>
                <w:tcPr>
                  <w:tcW w:w="1750" w:type="pct"/>
                </w:tcPr>
                <w:p>
                  <w:pPr>
                    <w:jc w:val="center"/>
                    <w:rPr>
                      <w:rFonts w:ascii="宋体" w:hAnsi="宋体" w:eastAsia="宋体" w:cs="宋体"/>
                      <w:kern w:val="0"/>
                      <w:sz w:val="24"/>
                      <w:szCs w:val="24"/>
                    </w:rPr>
                  </w:pPr>
                  <w:r>
                    <w:rPr>
                      <w:rFonts w:hint="eastAsia" w:ascii="宋体" w:hAnsi="宋体" w:eastAsia="宋体" w:cs="宋体"/>
                      <w:kern w:val="0"/>
                      <w:sz w:val="24"/>
                      <w:szCs w:val="24"/>
                    </w:rPr>
                    <w:t>知识产权法</w:t>
                  </w:r>
                </w:p>
              </w:tc>
              <w:tc>
                <w:tcPr>
                  <w:tcW w:w="846" w:type="pct"/>
                </w:tcPr>
                <w:p>
                  <w:pPr>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100230007</w:t>
                  </w:r>
                </w:p>
              </w:tc>
              <w:tc>
                <w:tcPr>
                  <w:tcW w:w="1750"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物权法</w:t>
                  </w:r>
                </w:p>
              </w:tc>
              <w:tc>
                <w:tcPr>
                  <w:tcW w:w="846"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100230008</w:t>
                  </w:r>
                </w:p>
              </w:tc>
              <w:tc>
                <w:tcPr>
                  <w:tcW w:w="1750"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债权法</w:t>
                  </w:r>
                </w:p>
              </w:tc>
              <w:tc>
                <w:tcPr>
                  <w:tcW w:w="846" w:type="pct"/>
                  <w:vAlign w:val="center"/>
                </w:tcPr>
                <w:p>
                  <w:pPr>
                    <w:jc w:val="center"/>
                    <w:rPr>
                      <w:rFonts w:ascii="宋体" w:hAnsi="宋体" w:eastAsia="宋体" w:cs="宋体"/>
                      <w:kern w:val="0"/>
                      <w:sz w:val="24"/>
                      <w:szCs w:val="24"/>
                    </w:rPr>
                  </w:pPr>
                  <w:r>
                    <w:rPr>
                      <w:rFonts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100230017</w:t>
                  </w:r>
                </w:p>
              </w:tc>
              <w:tc>
                <w:tcPr>
                  <w:tcW w:w="1750" w:type="pct"/>
                </w:tcPr>
                <w:p>
                  <w:pPr>
                    <w:jc w:val="center"/>
                    <w:rPr>
                      <w:rFonts w:ascii="宋体" w:hAnsi="宋体" w:eastAsia="宋体" w:cs="宋体"/>
                      <w:kern w:val="0"/>
                      <w:sz w:val="24"/>
                      <w:szCs w:val="24"/>
                    </w:rPr>
                  </w:pPr>
                  <w:r>
                    <w:rPr>
                      <w:rFonts w:hint="eastAsia" w:ascii="宋体" w:hAnsi="宋体" w:eastAsia="宋体" w:cs="宋体"/>
                      <w:kern w:val="0"/>
                      <w:sz w:val="24"/>
                      <w:szCs w:val="24"/>
                    </w:rPr>
                    <w:t>侵权责任法</w:t>
                  </w:r>
                </w:p>
              </w:tc>
              <w:tc>
                <w:tcPr>
                  <w:tcW w:w="846" w:type="pct"/>
                </w:tcPr>
                <w:p>
                  <w:pPr>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98" w:type="pct"/>
                  <w:vAlign w:val="top"/>
                </w:tcPr>
                <w:p>
                  <w:pPr>
                    <w:widowControl/>
                    <w:jc w:val="center"/>
                    <w:rPr>
                      <w:rFonts w:hint="eastAsia" w:ascii="宋体" w:hAnsi="宋体" w:eastAsia="宋体" w:cs="宋体"/>
                      <w:color w:val="333333"/>
                      <w:kern w:val="0"/>
                      <w:sz w:val="24"/>
                      <w:szCs w:val="24"/>
                      <w:highlight w:val="none"/>
                      <w:lang w:val="en-US" w:eastAsia="zh-CN" w:bidi="ar-SA"/>
                    </w:rPr>
                  </w:pPr>
                  <w:r>
                    <w:rPr>
                      <w:rFonts w:hint="eastAsia" w:ascii="宋体" w:hAnsi="宋体" w:eastAsia="宋体" w:cs="宋体"/>
                      <w:color w:val="333333"/>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pct"/>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总计学分</w:t>
                  </w:r>
                </w:p>
              </w:tc>
              <w:tc>
                <w:tcPr>
                  <w:tcW w:w="1750" w:type="pct"/>
                </w:tcPr>
                <w:p>
                  <w:pPr>
                    <w:jc w:val="center"/>
                    <w:rPr>
                      <w:rFonts w:ascii="宋体" w:hAnsi="宋体" w:eastAsia="宋体"/>
                      <w:sz w:val="24"/>
                      <w:szCs w:val="24"/>
                    </w:rPr>
                  </w:pPr>
                </w:p>
              </w:tc>
              <w:tc>
                <w:tcPr>
                  <w:tcW w:w="846" w:type="pct"/>
                </w:tcPr>
                <w:p>
                  <w:pPr>
                    <w:jc w:val="center"/>
                    <w:rPr>
                      <w:rFonts w:ascii="宋体" w:hAnsi="宋体" w:eastAsia="宋体"/>
                      <w:sz w:val="24"/>
                      <w:szCs w:val="24"/>
                    </w:rPr>
                  </w:pPr>
                  <w:r>
                    <w:rPr>
                      <w:rFonts w:hint="eastAsia" w:ascii="宋体" w:hAnsi="宋体" w:eastAsia="宋体"/>
                      <w:sz w:val="24"/>
                      <w:szCs w:val="24"/>
                    </w:rPr>
                    <w:t>29</w:t>
                  </w:r>
                </w:p>
              </w:tc>
              <w:tc>
                <w:tcPr>
                  <w:tcW w:w="1198" w:type="pct"/>
                </w:tcPr>
                <w:p>
                  <w:pPr>
                    <w:widowControl/>
                    <w:jc w:val="center"/>
                    <w:rPr>
                      <w:rFonts w:ascii="宋体" w:hAnsi="宋体" w:eastAsia="宋体" w:cs="宋体"/>
                      <w:color w:val="333333"/>
                      <w:kern w:val="0"/>
                      <w:sz w:val="24"/>
                      <w:szCs w:val="24"/>
                    </w:rPr>
                  </w:pPr>
                </w:p>
              </w:tc>
            </w:tr>
          </w:tbl>
          <w:p>
            <w:pPr>
              <w:widowControl/>
              <w:jc w:val="left"/>
              <w:rPr>
                <w:rFonts w:ascii="仿宋_GB2312" w:hAnsi="宋体" w:eastAsia="仿宋_GB2312" w:cs="宋体"/>
                <w:color w:val="333333"/>
                <w:kern w:val="0"/>
                <w:sz w:val="27"/>
                <w:szCs w:val="27"/>
              </w:rPr>
            </w:pPr>
          </w:p>
        </w:tc>
      </w:tr>
    </w:tbl>
    <w:p>
      <w:pPr>
        <w:widowControl/>
        <w:spacing w:before="100" w:beforeAutospacing="1" w:after="100" w:afterAutospacing="1"/>
        <w:jc w:val="left"/>
        <w:rPr>
          <w:rFonts w:ascii="仿宋_GB2312" w:hAnsi="宋体"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275327"/>
      <w:docPartObj>
        <w:docPartGallery w:val="autotext"/>
      </w:docPartObj>
    </w:sdtPr>
    <w:sdtContent>
      <w:sdt>
        <w:sdtPr>
          <w:id w:val="-1705238520"/>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2"/>
    <w:rsid w:val="000337F2"/>
    <w:rsid w:val="0003545A"/>
    <w:rsid w:val="00131C7E"/>
    <w:rsid w:val="00150DE4"/>
    <w:rsid w:val="00161170"/>
    <w:rsid w:val="00182F61"/>
    <w:rsid w:val="001E387C"/>
    <w:rsid w:val="00216BA9"/>
    <w:rsid w:val="00252335"/>
    <w:rsid w:val="00275845"/>
    <w:rsid w:val="002E31B0"/>
    <w:rsid w:val="002F03A6"/>
    <w:rsid w:val="0034226A"/>
    <w:rsid w:val="003A115B"/>
    <w:rsid w:val="003B2412"/>
    <w:rsid w:val="003F0F48"/>
    <w:rsid w:val="003F50B6"/>
    <w:rsid w:val="004D025E"/>
    <w:rsid w:val="004E10C6"/>
    <w:rsid w:val="004F10F3"/>
    <w:rsid w:val="00530846"/>
    <w:rsid w:val="00531377"/>
    <w:rsid w:val="005349EB"/>
    <w:rsid w:val="005535F7"/>
    <w:rsid w:val="00556E2B"/>
    <w:rsid w:val="00560D4C"/>
    <w:rsid w:val="005628AB"/>
    <w:rsid w:val="005C2DC8"/>
    <w:rsid w:val="0064351E"/>
    <w:rsid w:val="006451B1"/>
    <w:rsid w:val="00652736"/>
    <w:rsid w:val="006C5206"/>
    <w:rsid w:val="0071095B"/>
    <w:rsid w:val="00786847"/>
    <w:rsid w:val="007B72D8"/>
    <w:rsid w:val="007C0B54"/>
    <w:rsid w:val="008D7CE0"/>
    <w:rsid w:val="0097093C"/>
    <w:rsid w:val="009C6673"/>
    <w:rsid w:val="009D4FB7"/>
    <w:rsid w:val="009E4AA8"/>
    <w:rsid w:val="00A4755E"/>
    <w:rsid w:val="00A753AD"/>
    <w:rsid w:val="00A855AA"/>
    <w:rsid w:val="00AC3EE4"/>
    <w:rsid w:val="00AD66B3"/>
    <w:rsid w:val="00B728E3"/>
    <w:rsid w:val="00C121A3"/>
    <w:rsid w:val="00C820DA"/>
    <w:rsid w:val="00CE2011"/>
    <w:rsid w:val="00D0154C"/>
    <w:rsid w:val="00D4661C"/>
    <w:rsid w:val="00D84122"/>
    <w:rsid w:val="00E01AA5"/>
    <w:rsid w:val="00E5089E"/>
    <w:rsid w:val="00E91FA5"/>
    <w:rsid w:val="00EB405A"/>
    <w:rsid w:val="00EB4E05"/>
    <w:rsid w:val="00EB77CE"/>
    <w:rsid w:val="00EC1F8E"/>
    <w:rsid w:val="00ED4CAE"/>
    <w:rsid w:val="00F10328"/>
    <w:rsid w:val="13FC5E2B"/>
    <w:rsid w:val="18AE6959"/>
    <w:rsid w:val="49156F02"/>
    <w:rsid w:val="4F1D7CDE"/>
    <w:rsid w:val="7CB4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673</Characters>
  <Lines>5</Lines>
  <Paragraphs>1</Paragraphs>
  <TotalTime>0</TotalTime>
  <ScaleCrop>false</ScaleCrop>
  <LinksUpToDate>false</LinksUpToDate>
  <CharactersWithSpaces>789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2020-09-28T05:54:00Z</dcterms:created>
  <dc:creator>l</dc:creator>
  <cp:lastModifiedBy>杨筱龌~</cp:lastModifiedBy>
  <cp:lastPrinted>2019-05-10T02:05:00Z</cp:lastPrinted>
  <dcterms:modified xsi:type="dcterms:W3CDTF">2021-09-03T07:39:54Z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48A313DE061D453E92C3E595A0545051</vt:lpwstr>
  </property>
</Properties>
</file>