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法学院辅修专业说明</w:t>
      </w:r>
    </w:p>
    <w:p>
      <w:pPr>
        <w:jc w:val="center"/>
        <w:rPr>
          <w:rFonts w:ascii="仿宋_GB2312" w:eastAsia="仿宋_GB2312"/>
          <w:sz w:val="30"/>
          <w:szCs w:val="30"/>
        </w:rPr>
      </w:pPr>
    </w:p>
    <w:tbl>
      <w:tblPr>
        <w:tblStyle w:val="6"/>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9"/>
        <w:gridCol w:w="2382"/>
        <w:gridCol w:w="1359"/>
        <w:gridCol w:w="2862"/>
      </w:tblGrid>
      <w:tr>
        <w:trPr>
          <w:trHeight w:val="774" w:hRule="atLeast"/>
          <w:jc w:val="center"/>
        </w:trPr>
        <w:tc>
          <w:tcPr>
            <w:tcW w:w="17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学院</w:t>
            </w:r>
          </w:p>
        </w:tc>
        <w:tc>
          <w:tcPr>
            <w:tcW w:w="23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法学院</w:t>
            </w:r>
          </w:p>
        </w:tc>
        <w:tc>
          <w:tcPr>
            <w:tcW w:w="1359" w:type="dxa"/>
            <w:tcBorders>
              <w:top w:val="outset" w:color="auto" w:sz="6" w:space="0"/>
              <w:left w:val="outset" w:color="auto" w:sz="6" w:space="0"/>
              <w:bottom w:val="outset" w:color="auto" w:sz="6" w:space="0"/>
              <w:right w:val="outset" w:color="auto" w:sz="6" w:space="0"/>
            </w:tcBorders>
            <w:vAlign w:val="center"/>
          </w:tcPr>
          <w:p>
            <w:pPr>
              <w:widowControl/>
              <w:ind w:firstLine="14"/>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专业</w:t>
            </w:r>
          </w:p>
        </w:tc>
        <w:tc>
          <w:tcPr>
            <w:tcW w:w="286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法学</w:t>
            </w:r>
          </w:p>
        </w:tc>
      </w:tr>
      <w:tr>
        <w:trPr>
          <w:trHeight w:val="585" w:hRule="atLeast"/>
          <w:jc w:val="center"/>
        </w:trPr>
        <w:tc>
          <w:tcPr>
            <w:tcW w:w="17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专业容量</w:t>
            </w:r>
          </w:p>
        </w:tc>
        <w:tc>
          <w:tcPr>
            <w:tcW w:w="23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30人</w:t>
            </w:r>
          </w:p>
        </w:tc>
        <w:tc>
          <w:tcPr>
            <w:tcW w:w="1359" w:type="dxa"/>
            <w:tcBorders>
              <w:top w:val="outset" w:color="auto" w:sz="6" w:space="0"/>
              <w:left w:val="outset" w:color="auto" w:sz="6" w:space="0"/>
              <w:bottom w:val="outset" w:color="auto" w:sz="6" w:space="0"/>
              <w:right w:val="outset" w:color="auto" w:sz="6" w:space="0"/>
            </w:tcBorders>
            <w:vAlign w:val="center"/>
          </w:tcPr>
          <w:p>
            <w:pPr>
              <w:widowControl/>
              <w:ind w:firstLine="14"/>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与本专业相近专业</w:t>
            </w:r>
          </w:p>
        </w:tc>
        <w:tc>
          <w:tcPr>
            <w:tcW w:w="286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无</w:t>
            </w:r>
          </w:p>
        </w:tc>
      </w:tr>
      <w:tr>
        <w:trPr>
          <w:trHeight w:val="1110" w:hRule="atLeast"/>
          <w:jc w:val="center"/>
        </w:trPr>
        <w:tc>
          <w:tcPr>
            <w:tcW w:w="8322" w:type="dxa"/>
            <w:gridSpan w:val="4"/>
            <w:tcBorders>
              <w:top w:val="outset" w:color="auto" w:sz="6" w:space="0"/>
              <w:left w:val="outset" w:color="auto" w:sz="6" w:space="0"/>
              <w:bottom w:val="outset" w:color="auto" w:sz="6" w:space="0"/>
              <w:right w:val="outset" w:color="auto" w:sz="6" w:space="0"/>
            </w:tcBorders>
          </w:tcPr>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一、专业简介</w:t>
            </w:r>
          </w:p>
          <w:p>
            <w:pPr>
              <w:widowControl/>
              <w:ind w:firstLine="560" w:firstLineChars="2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北京理工大学法学院现已形成法学本科、双学位、法学一级学科硕士学位、法律硕士专业学位、法学一级学科博士学位授权及法学博士后流动站一系列完整的人才培养体系。法学专业获评2020年国家级一流本科专业建设点。本专业基于国家“卓越法治人才”培养目标，依靠北京理工大学背景，在课程设计中（1）实行“基础与特色相结合”，在掌握基本法学理论和知识前提下，形成以知识产权为特色的民商法学，以空间法为特色的国际法学，以司法制度为特色的诉讼法学等学科体系。（2）实行“理论与实务相结合”，在秉承法学教育特点，构建校内校外联合培养机制前提下，加强对学生法律职业能力的培养。</w:t>
            </w:r>
          </w:p>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二、培养目标</w:t>
            </w:r>
          </w:p>
          <w:p>
            <w:pPr>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专业根据教育部法学专业教学指导委员会的统一要求，依据应用型、复合型、创新型“卓越法治人才”培养目标，培养系统掌握法学基础知识和基本技能，熟悉我国法律和司法政策，了解外国法律和法学动态，有较强的分析和解决法律实际问题能力，适应国家法治建设需要，具备高素质的卓越法治人才。</w:t>
            </w:r>
          </w:p>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三、就业领域</w:t>
            </w:r>
          </w:p>
          <w:p>
            <w:pPr>
              <w:widowControl/>
              <w:ind w:firstLine="560" w:firstLineChars="20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专业毕业生除了继续深造读研，能够在国家机关、企事业单位和社会团体，尤其是立法机关、行政机关、监察机关、审判机关、检察机关、仲裁机构和其他法律服务机构，从事立法、司法、律师服务、法律顾问和其他与法律事务有关的工作。</w:t>
            </w:r>
          </w:p>
          <w:p>
            <w:pPr>
              <w:widowControl/>
              <w:ind w:firstLine="561" w:firstLineChars="200"/>
              <w:jc w:val="left"/>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四、培养方案（详见下表）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2905"/>
              <w:gridCol w:w="1404"/>
              <w:gridCol w:w="1989"/>
            </w:tblGrid>
            <w:tr>
              <w:trPr>
                <w:trHeight w:val="671" w:hRule="atLeast"/>
                <w:jc w:val="center"/>
              </w:trPr>
              <w:tc>
                <w:tcPr>
                  <w:tcW w:w="1998" w:type="dxa"/>
                  <w:vAlign w:val="center"/>
                </w:tcPr>
                <w:p>
                  <w:pPr>
                    <w:widowControl/>
                    <w:adjustRightInd w:val="0"/>
                    <w:snapToGrid w:val="0"/>
                    <w:jc w:val="center"/>
                    <w:rPr>
                      <w:rFonts w:hint="eastAsia" w:ascii="宋体" w:hAnsi="宋体" w:eastAsia="宋体" w:cs="宋体"/>
                      <w:b/>
                      <w:color w:val="auto"/>
                      <w:kern w:val="0"/>
                      <w:sz w:val="36"/>
                      <w:szCs w:val="36"/>
                    </w:rPr>
                  </w:pPr>
                  <w:r>
                    <w:rPr>
                      <w:rFonts w:hint="eastAsia" w:ascii="宋体" w:hAnsi="宋体" w:eastAsia="宋体" w:cs="宋体"/>
                      <w:b/>
                      <w:color w:val="auto"/>
                      <w:sz w:val="24"/>
                      <w:szCs w:val="24"/>
                    </w:rPr>
                    <w:t>课程代码</w:t>
                  </w:r>
                </w:p>
              </w:tc>
              <w:tc>
                <w:tcPr>
                  <w:tcW w:w="2905" w:type="dxa"/>
                  <w:vAlign w:val="center"/>
                </w:tcPr>
                <w:p>
                  <w:pPr>
                    <w:widowControl/>
                    <w:adjustRightInd w:val="0"/>
                    <w:snapToGrid w:val="0"/>
                    <w:jc w:val="center"/>
                    <w:rPr>
                      <w:rFonts w:hint="eastAsia" w:ascii="宋体" w:hAnsi="宋体" w:eastAsia="宋体" w:cs="宋体"/>
                      <w:b/>
                      <w:color w:val="auto"/>
                      <w:kern w:val="0"/>
                      <w:sz w:val="36"/>
                      <w:szCs w:val="36"/>
                    </w:rPr>
                  </w:pPr>
                  <w:r>
                    <w:rPr>
                      <w:rFonts w:hint="eastAsia" w:ascii="宋体" w:hAnsi="宋体" w:eastAsia="宋体" w:cs="宋体"/>
                      <w:b/>
                      <w:color w:val="auto"/>
                      <w:sz w:val="24"/>
                      <w:szCs w:val="24"/>
                    </w:rPr>
                    <w:t>课程名称</w:t>
                  </w:r>
                </w:p>
              </w:tc>
              <w:tc>
                <w:tcPr>
                  <w:tcW w:w="1404" w:type="dxa"/>
                  <w:vAlign w:val="center"/>
                </w:tcPr>
                <w:p>
                  <w:pPr>
                    <w:widowControl/>
                    <w:adjustRightInd w:val="0"/>
                    <w:snapToGrid w:val="0"/>
                    <w:jc w:val="center"/>
                    <w:rPr>
                      <w:rFonts w:hint="eastAsia" w:ascii="宋体" w:hAnsi="宋体" w:eastAsia="宋体" w:cs="宋体"/>
                      <w:b/>
                      <w:color w:val="auto"/>
                      <w:kern w:val="0"/>
                      <w:sz w:val="36"/>
                      <w:szCs w:val="36"/>
                    </w:rPr>
                  </w:pPr>
                  <w:r>
                    <w:rPr>
                      <w:rFonts w:hint="eastAsia" w:ascii="宋体" w:hAnsi="宋体" w:eastAsia="宋体" w:cs="宋体"/>
                      <w:b/>
                      <w:color w:val="auto"/>
                      <w:sz w:val="24"/>
                      <w:szCs w:val="24"/>
                    </w:rPr>
                    <w:t>学分</w:t>
                  </w:r>
                </w:p>
              </w:tc>
              <w:tc>
                <w:tcPr>
                  <w:tcW w:w="1989" w:type="dxa"/>
                  <w:vAlign w:val="center"/>
                </w:tcPr>
                <w:p>
                  <w:pPr>
                    <w:widowControl/>
                    <w:adjustRightInd w:val="0"/>
                    <w:snapToGrid w:val="0"/>
                    <w:jc w:val="center"/>
                    <w:rPr>
                      <w:rFonts w:hint="eastAsia" w:ascii="宋体" w:hAnsi="宋体" w:eastAsia="宋体" w:cs="宋体"/>
                      <w:b/>
                      <w:color w:val="auto"/>
                      <w:kern w:val="0"/>
                      <w:sz w:val="36"/>
                      <w:szCs w:val="36"/>
                      <w:lang w:eastAsia="zh-Hans"/>
                    </w:rPr>
                  </w:pPr>
                  <w:r>
                    <w:rPr>
                      <w:rFonts w:hint="eastAsia" w:ascii="宋体" w:hAnsi="宋体" w:eastAsia="宋体" w:cs="宋体"/>
                      <w:b/>
                      <w:color w:val="auto"/>
                      <w:sz w:val="24"/>
                      <w:szCs w:val="24"/>
                      <w:lang w:val="en-US" w:eastAsia="zh-Hans"/>
                    </w:rPr>
                    <w:t>本学期是否开课</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sz w:val="24"/>
                      <w:szCs w:val="24"/>
                    </w:rPr>
                    <w:t>100230076</w:t>
                  </w:r>
                </w:p>
              </w:tc>
              <w:tc>
                <w:tcPr>
                  <w:tcW w:w="2905" w:type="dxa"/>
                  <w:vAlign w:val="center"/>
                </w:tcPr>
                <w:p>
                  <w:pPr>
                    <w:widowControl/>
                    <w:adjustRightInd w:val="0"/>
                    <w:snapToGrid w:val="0"/>
                    <w:jc w:val="cente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24"/>
                      <w:szCs w:val="24"/>
                    </w:rPr>
                    <w:t>习近平法治思想概论</w:t>
                  </w:r>
                </w:p>
              </w:tc>
              <w:tc>
                <w:tcPr>
                  <w:tcW w:w="1404" w:type="dxa"/>
                  <w:vAlign w:val="center"/>
                </w:tcPr>
                <w:p>
                  <w:pPr>
                    <w:widowControl/>
                    <w:adjustRightInd w:val="0"/>
                    <w:snapToGrid w:val="0"/>
                    <w:jc w:val="cente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24"/>
                      <w:szCs w:val="24"/>
                    </w:rPr>
                    <w:t>2</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bidi="ar-SA"/>
                    </w:rPr>
                  </w:pPr>
                  <w:r>
                    <w:rPr>
                      <w:rFonts w:hint="eastAsia" w:ascii="宋体" w:hAnsi="宋体" w:eastAsia="宋体" w:cs="宋体"/>
                      <w:color w:val="auto"/>
                      <w:sz w:val="24"/>
                      <w:szCs w:val="24"/>
                      <w:lang w:val="en-US" w:eastAsia="zh-Hans"/>
                    </w:rPr>
                    <w:t>是</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sz w:val="24"/>
                      <w:szCs w:val="24"/>
                    </w:rPr>
                    <w:t>103230072</w:t>
                  </w:r>
                </w:p>
              </w:tc>
              <w:tc>
                <w:tcPr>
                  <w:tcW w:w="2905" w:type="dxa"/>
                  <w:vAlign w:val="center"/>
                </w:tcPr>
                <w:p>
                  <w:pPr>
                    <w:widowControl/>
                    <w:adjustRightInd w:val="0"/>
                    <w:snapToGrid w:val="0"/>
                    <w:jc w:val="cente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24"/>
                      <w:szCs w:val="24"/>
                    </w:rPr>
                    <w:t>法理学(研究型)</w:t>
                  </w:r>
                </w:p>
              </w:tc>
              <w:tc>
                <w:tcPr>
                  <w:tcW w:w="1404" w:type="dxa"/>
                  <w:vAlign w:val="center"/>
                </w:tcPr>
                <w:p>
                  <w:pPr>
                    <w:widowControl/>
                    <w:adjustRightInd w:val="0"/>
                    <w:snapToGrid w:val="0"/>
                    <w:jc w:val="cente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bidi="ar-SA"/>
                    </w:rPr>
                  </w:pPr>
                  <w:r>
                    <w:rPr>
                      <w:rFonts w:hint="eastAsia" w:ascii="宋体" w:hAnsi="宋体" w:eastAsia="宋体" w:cs="宋体"/>
                      <w:color w:val="auto"/>
                      <w:sz w:val="24"/>
                      <w:szCs w:val="24"/>
                      <w:lang w:val="en-US" w:eastAsia="zh-Hans"/>
                    </w:rPr>
                    <w:t>是</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103230004</w:t>
                  </w:r>
                </w:p>
              </w:tc>
              <w:tc>
                <w:tcPr>
                  <w:tcW w:w="2905" w:type="dxa"/>
                  <w:vAlign w:val="center"/>
                </w:tcPr>
                <w:p>
                  <w:pPr>
                    <w:widowControl/>
                    <w:adjustRightInd w:val="0"/>
                    <w:snapToGrid w:val="0"/>
                    <w:jc w:val="center"/>
                    <w:rPr>
                      <w:rFonts w:hint="eastAsia" w:ascii="宋体" w:hAnsi="宋体" w:eastAsia="宋体" w:cs="宋体"/>
                      <w:color w:val="auto"/>
                      <w:sz w:val="32"/>
                      <w:szCs w:val="32"/>
                      <w:lang w:eastAsia="zh-CN"/>
                    </w:rPr>
                  </w:pPr>
                  <w:r>
                    <w:rPr>
                      <w:rFonts w:hint="eastAsia" w:ascii="宋体" w:hAnsi="宋体" w:eastAsia="宋体" w:cs="宋体"/>
                      <w:color w:val="auto"/>
                      <w:sz w:val="24"/>
                      <w:szCs w:val="24"/>
                    </w:rPr>
                    <w:t>民法总论(研究型)</w:t>
                  </w:r>
                </w:p>
              </w:tc>
              <w:tc>
                <w:tcPr>
                  <w:tcW w:w="1404" w:type="dxa"/>
                  <w:vAlign w:val="center"/>
                </w:tcPr>
                <w:p>
                  <w:pPr>
                    <w:widowControl/>
                    <w:adjustRightInd w:val="0"/>
                    <w:snapToGrid w:val="0"/>
                    <w:jc w:val="center"/>
                    <w:rPr>
                      <w:rFonts w:hint="eastAsia" w:ascii="宋体" w:hAnsi="宋体" w:eastAsia="宋体" w:cs="宋体"/>
                      <w:color w:val="auto"/>
                      <w:sz w:val="32"/>
                      <w:szCs w:val="32"/>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rPr>
                  </w:pPr>
                  <w:r>
                    <w:rPr>
                      <w:rFonts w:hint="eastAsia" w:ascii="宋体" w:hAnsi="宋体" w:eastAsia="宋体" w:cs="宋体"/>
                      <w:color w:val="auto"/>
                      <w:sz w:val="24"/>
                      <w:szCs w:val="24"/>
                      <w:lang w:val="en-US" w:eastAsia="zh-Hans"/>
                    </w:rPr>
                    <w:t>否</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103230005</w:t>
                  </w:r>
                </w:p>
              </w:tc>
              <w:tc>
                <w:tcPr>
                  <w:tcW w:w="2905" w:type="dxa"/>
                  <w:vAlign w:val="center"/>
                </w:tcPr>
                <w:p>
                  <w:pPr>
                    <w:widowControl/>
                    <w:adjustRightInd w:val="0"/>
                    <w:snapToGrid w:val="0"/>
                    <w:jc w:val="center"/>
                    <w:rPr>
                      <w:rFonts w:hint="eastAsia" w:ascii="宋体" w:hAnsi="宋体" w:eastAsia="宋体" w:cs="宋体"/>
                      <w:color w:val="auto"/>
                      <w:sz w:val="32"/>
                      <w:szCs w:val="32"/>
                      <w:lang w:eastAsia="zh-CN"/>
                    </w:rPr>
                  </w:pPr>
                  <w:r>
                    <w:rPr>
                      <w:rFonts w:hint="eastAsia" w:ascii="宋体" w:hAnsi="宋体" w:eastAsia="宋体" w:cs="宋体"/>
                      <w:color w:val="auto"/>
                      <w:sz w:val="24"/>
                      <w:szCs w:val="24"/>
                    </w:rPr>
                    <w:t>刑法总论(研究型)</w:t>
                  </w:r>
                </w:p>
              </w:tc>
              <w:tc>
                <w:tcPr>
                  <w:tcW w:w="1404" w:type="dxa"/>
                  <w:vAlign w:val="center"/>
                </w:tcPr>
                <w:p>
                  <w:pPr>
                    <w:widowControl/>
                    <w:adjustRightInd w:val="0"/>
                    <w:snapToGrid w:val="0"/>
                    <w:jc w:val="center"/>
                    <w:rPr>
                      <w:rFonts w:hint="eastAsia" w:ascii="宋体" w:hAnsi="宋体" w:eastAsia="宋体" w:cs="宋体"/>
                      <w:color w:val="auto"/>
                      <w:sz w:val="32"/>
                      <w:szCs w:val="32"/>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rPr>
                  </w:pPr>
                  <w:r>
                    <w:rPr>
                      <w:rFonts w:hint="eastAsia" w:ascii="宋体" w:hAnsi="宋体" w:eastAsia="宋体" w:cs="宋体"/>
                      <w:color w:val="auto"/>
                      <w:sz w:val="24"/>
                      <w:szCs w:val="24"/>
                      <w:lang w:val="en-US" w:eastAsia="zh-Hans"/>
                    </w:rPr>
                    <w:t>是</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100230011</w:t>
                  </w:r>
                </w:p>
              </w:tc>
              <w:tc>
                <w:tcPr>
                  <w:tcW w:w="2905" w:type="dxa"/>
                  <w:vAlign w:val="center"/>
                </w:tcPr>
                <w:p>
                  <w:pPr>
                    <w:widowControl/>
                    <w:adjustRightInd w:val="0"/>
                    <w:snapToGrid w:val="0"/>
                    <w:jc w:val="center"/>
                    <w:rPr>
                      <w:rFonts w:hint="eastAsia" w:ascii="宋体" w:hAnsi="宋体" w:eastAsia="宋体" w:cs="宋体"/>
                      <w:color w:val="auto"/>
                      <w:sz w:val="32"/>
                      <w:szCs w:val="32"/>
                    </w:rPr>
                  </w:pPr>
                  <w:r>
                    <w:rPr>
                      <w:rFonts w:hint="eastAsia" w:ascii="宋体" w:hAnsi="宋体" w:eastAsia="宋体" w:cs="宋体"/>
                      <w:color w:val="auto"/>
                      <w:sz w:val="24"/>
                      <w:szCs w:val="24"/>
                    </w:rPr>
                    <w:t>行政法与行政诉讼法</w:t>
                  </w:r>
                </w:p>
              </w:tc>
              <w:tc>
                <w:tcPr>
                  <w:tcW w:w="1404" w:type="dxa"/>
                  <w:vAlign w:val="center"/>
                </w:tcPr>
                <w:p>
                  <w:pPr>
                    <w:widowControl/>
                    <w:adjustRightInd w:val="0"/>
                    <w:snapToGrid w:val="0"/>
                    <w:jc w:val="center"/>
                    <w:rPr>
                      <w:rFonts w:hint="eastAsia" w:ascii="宋体" w:hAnsi="宋体" w:eastAsia="宋体" w:cs="宋体"/>
                      <w:color w:val="auto"/>
                      <w:sz w:val="32"/>
                      <w:szCs w:val="32"/>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rPr>
                  </w:pPr>
                  <w:r>
                    <w:rPr>
                      <w:rFonts w:hint="eastAsia" w:ascii="宋体" w:hAnsi="宋体" w:eastAsia="宋体" w:cs="宋体"/>
                      <w:color w:val="auto"/>
                      <w:sz w:val="24"/>
                      <w:szCs w:val="24"/>
                      <w:lang w:val="en-US" w:eastAsia="zh-Hans"/>
                    </w:rPr>
                    <w:t>是</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100230032</w:t>
                  </w:r>
                </w:p>
              </w:tc>
              <w:tc>
                <w:tcPr>
                  <w:tcW w:w="2905" w:type="dxa"/>
                  <w:vAlign w:val="center"/>
                </w:tcPr>
                <w:p>
                  <w:pPr>
                    <w:widowControl/>
                    <w:adjustRightInd w:val="0"/>
                    <w:snapToGrid w:val="0"/>
                    <w:jc w:val="center"/>
                    <w:rPr>
                      <w:rFonts w:hint="eastAsia" w:ascii="宋体" w:hAnsi="宋体" w:eastAsia="宋体" w:cs="宋体"/>
                      <w:color w:val="auto"/>
                      <w:sz w:val="32"/>
                      <w:szCs w:val="32"/>
                    </w:rPr>
                  </w:pPr>
                  <w:r>
                    <w:rPr>
                      <w:rFonts w:hint="eastAsia" w:ascii="宋体" w:hAnsi="宋体" w:eastAsia="宋体" w:cs="宋体"/>
                      <w:color w:val="auto"/>
                      <w:sz w:val="24"/>
                      <w:szCs w:val="24"/>
                    </w:rPr>
                    <w:t>刑法分论</w:t>
                  </w:r>
                </w:p>
              </w:tc>
              <w:tc>
                <w:tcPr>
                  <w:tcW w:w="1404" w:type="dxa"/>
                  <w:vAlign w:val="center"/>
                </w:tcPr>
                <w:p>
                  <w:pPr>
                    <w:widowControl/>
                    <w:adjustRightInd w:val="0"/>
                    <w:snapToGrid w:val="0"/>
                    <w:jc w:val="center"/>
                    <w:rPr>
                      <w:rFonts w:hint="eastAsia" w:ascii="宋体" w:hAnsi="宋体" w:eastAsia="宋体" w:cs="宋体"/>
                      <w:color w:val="auto"/>
                      <w:sz w:val="32"/>
                      <w:szCs w:val="32"/>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bidi="ar-SA"/>
                    </w:rPr>
                  </w:pPr>
                  <w:r>
                    <w:rPr>
                      <w:rFonts w:hint="eastAsia" w:ascii="宋体" w:hAnsi="宋体" w:eastAsia="宋体" w:cs="宋体"/>
                      <w:color w:val="auto"/>
                      <w:sz w:val="24"/>
                      <w:szCs w:val="24"/>
                      <w:lang w:val="en-US" w:eastAsia="zh-Hans"/>
                    </w:rPr>
                    <w:t>否</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100230004</w:t>
                  </w:r>
                </w:p>
              </w:tc>
              <w:tc>
                <w:tcPr>
                  <w:tcW w:w="2905"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知识产权法</w:t>
                  </w:r>
                </w:p>
              </w:tc>
              <w:tc>
                <w:tcPr>
                  <w:tcW w:w="1404"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bidi="ar-SA"/>
                    </w:rPr>
                  </w:pPr>
                  <w:r>
                    <w:rPr>
                      <w:rFonts w:hint="eastAsia" w:ascii="宋体" w:hAnsi="宋体" w:eastAsia="宋体" w:cs="宋体"/>
                      <w:color w:val="auto"/>
                      <w:sz w:val="24"/>
                      <w:szCs w:val="24"/>
                      <w:lang w:val="en-US" w:eastAsia="zh-Hans"/>
                    </w:rPr>
                    <w:t>是</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100230007</w:t>
                  </w:r>
                </w:p>
              </w:tc>
              <w:tc>
                <w:tcPr>
                  <w:tcW w:w="2905"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物权法</w:t>
                  </w:r>
                </w:p>
              </w:tc>
              <w:tc>
                <w:tcPr>
                  <w:tcW w:w="1404"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bidi="ar-SA"/>
                    </w:rPr>
                  </w:pPr>
                  <w:r>
                    <w:rPr>
                      <w:rFonts w:hint="eastAsia" w:ascii="宋体" w:hAnsi="宋体" w:eastAsia="宋体" w:cs="宋体"/>
                      <w:color w:val="auto"/>
                      <w:sz w:val="24"/>
                      <w:szCs w:val="24"/>
                      <w:lang w:val="en-US" w:eastAsia="zh-Hans"/>
                    </w:rPr>
                    <w:t>是</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100230008</w:t>
                  </w:r>
                </w:p>
              </w:tc>
              <w:tc>
                <w:tcPr>
                  <w:tcW w:w="2905"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债权法</w:t>
                  </w:r>
                </w:p>
              </w:tc>
              <w:tc>
                <w:tcPr>
                  <w:tcW w:w="1404"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bidi="ar-SA"/>
                    </w:rPr>
                  </w:pPr>
                  <w:r>
                    <w:rPr>
                      <w:rFonts w:hint="eastAsia" w:ascii="宋体" w:hAnsi="宋体" w:eastAsia="宋体" w:cs="宋体"/>
                      <w:color w:val="auto"/>
                      <w:sz w:val="24"/>
                      <w:szCs w:val="24"/>
                      <w:lang w:val="en-US" w:eastAsia="zh-Hans"/>
                    </w:rPr>
                    <w:t>是</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100230017</w:t>
                  </w:r>
                </w:p>
              </w:tc>
              <w:tc>
                <w:tcPr>
                  <w:tcW w:w="2905"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侵权责任法</w:t>
                  </w:r>
                </w:p>
              </w:tc>
              <w:tc>
                <w:tcPr>
                  <w:tcW w:w="1404"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3</w:t>
                  </w:r>
                </w:p>
              </w:tc>
              <w:tc>
                <w:tcPr>
                  <w:tcW w:w="1989" w:type="dxa"/>
                  <w:vAlign w:val="center"/>
                </w:tcPr>
                <w:p>
                  <w:pPr>
                    <w:widowControl/>
                    <w:adjustRightInd w:val="0"/>
                    <w:snapToGrid w:val="0"/>
                    <w:jc w:val="center"/>
                    <w:rPr>
                      <w:rFonts w:hint="eastAsia" w:ascii="宋体" w:hAnsi="宋体" w:eastAsia="宋体" w:cs="宋体"/>
                      <w:color w:val="auto"/>
                      <w:kern w:val="0"/>
                      <w:sz w:val="32"/>
                      <w:szCs w:val="32"/>
                      <w:highlight w:val="none"/>
                      <w:lang w:val="en-US" w:eastAsia="zh-Hans" w:bidi="ar-SA"/>
                    </w:rPr>
                  </w:pPr>
                  <w:r>
                    <w:rPr>
                      <w:rFonts w:hint="eastAsia" w:ascii="宋体" w:hAnsi="宋体" w:eastAsia="宋体" w:cs="宋体"/>
                      <w:color w:val="auto"/>
                      <w:sz w:val="24"/>
                      <w:szCs w:val="24"/>
                      <w:lang w:val="en-US" w:eastAsia="zh-Hans"/>
                    </w:rPr>
                    <w:t>否</w:t>
                  </w:r>
                </w:p>
              </w:tc>
            </w:tr>
            <w:tr>
              <w:trPr>
                <w:jc w:val="center"/>
              </w:trPr>
              <w:tc>
                <w:tcPr>
                  <w:tcW w:w="1998" w:type="dxa"/>
                  <w:vAlign w:val="center"/>
                </w:tcPr>
                <w:p>
                  <w:pPr>
                    <w:widowControl/>
                    <w:adjustRightInd w:val="0"/>
                    <w:snapToGrid w:val="0"/>
                    <w:jc w:val="center"/>
                    <w:rPr>
                      <w:rFonts w:hint="eastAsia" w:ascii="宋体" w:hAnsi="宋体" w:eastAsia="宋体" w:cs="宋体"/>
                      <w:color w:val="auto"/>
                      <w:kern w:val="0"/>
                      <w:sz w:val="32"/>
                      <w:szCs w:val="32"/>
                    </w:rPr>
                  </w:pPr>
                  <w:r>
                    <w:rPr>
                      <w:rFonts w:hint="eastAsia" w:ascii="宋体" w:hAnsi="宋体" w:eastAsia="宋体" w:cs="宋体"/>
                      <w:color w:val="auto"/>
                      <w:sz w:val="24"/>
                      <w:szCs w:val="24"/>
                    </w:rPr>
                    <w:t>总计学分</w:t>
                  </w:r>
                </w:p>
              </w:tc>
              <w:tc>
                <w:tcPr>
                  <w:tcW w:w="2905" w:type="dxa"/>
                  <w:vAlign w:val="center"/>
                </w:tcPr>
                <w:p>
                  <w:pPr>
                    <w:widowControl/>
                    <w:adjustRightInd w:val="0"/>
                    <w:snapToGrid w:val="0"/>
                    <w:jc w:val="center"/>
                    <w:rPr>
                      <w:rFonts w:hint="eastAsia" w:ascii="宋体" w:hAnsi="宋体" w:eastAsia="宋体" w:cs="宋体"/>
                      <w:color w:val="auto"/>
                      <w:sz w:val="32"/>
                      <w:szCs w:val="32"/>
                    </w:rPr>
                  </w:pPr>
                </w:p>
              </w:tc>
              <w:tc>
                <w:tcPr>
                  <w:tcW w:w="1404" w:type="dxa"/>
                  <w:vAlign w:val="center"/>
                </w:tcPr>
                <w:p>
                  <w:pPr>
                    <w:widowControl/>
                    <w:adjustRightInd w:val="0"/>
                    <w:snapToGrid w:val="0"/>
                    <w:jc w:val="center"/>
                    <w:rPr>
                      <w:rFonts w:hint="eastAsia" w:ascii="宋体" w:hAnsi="宋体" w:eastAsia="宋体" w:cs="宋体"/>
                      <w:color w:val="auto"/>
                      <w:sz w:val="32"/>
                      <w:szCs w:val="32"/>
                    </w:rPr>
                  </w:pPr>
                  <w:r>
                    <w:rPr>
                      <w:rFonts w:hint="eastAsia" w:ascii="宋体" w:hAnsi="宋体" w:eastAsia="宋体" w:cs="宋体"/>
                      <w:color w:val="auto"/>
                      <w:sz w:val="24"/>
                      <w:szCs w:val="24"/>
                    </w:rPr>
                    <w:t>29</w:t>
                  </w:r>
                </w:p>
              </w:tc>
              <w:tc>
                <w:tcPr>
                  <w:tcW w:w="1989" w:type="dxa"/>
                  <w:vAlign w:val="center"/>
                </w:tcPr>
                <w:p>
                  <w:pPr>
                    <w:widowControl/>
                    <w:adjustRightInd w:val="0"/>
                    <w:snapToGrid w:val="0"/>
                    <w:jc w:val="center"/>
                    <w:rPr>
                      <w:rFonts w:hint="eastAsia" w:ascii="宋体" w:hAnsi="宋体" w:eastAsia="宋体" w:cs="宋体"/>
                      <w:color w:val="auto"/>
                      <w:kern w:val="0"/>
                      <w:sz w:val="32"/>
                      <w:szCs w:val="32"/>
                    </w:rPr>
                  </w:pPr>
                </w:p>
              </w:tc>
            </w:tr>
          </w:tbl>
          <w:p>
            <w:pPr>
              <w:widowControl/>
              <w:jc w:val="left"/>
              <w:rPr>
                <w:rFonts w:ascii="仿宋_GB2312" w:hAnsi="宋体" w:eastAsia="仿宋_GB2312" w:cs="宋体"/>
                <w:color w:val="333333"/>
                <w:kern w:val="0"/>
                <w:sz w:val="27"/>
                <w:szCs w:val="27"/>
              </w:rPr>
            </w:pPr>
          </w:p>
        </w:tc>
      </w:tr>
    </w:tbl>
    <w:p>
      <w:pPr>
        <w:widowControl/>
        <w:spacing w:before="100" w:beforeAutospacing="1" w:after="100" w:afterAutospacing="1"/>
        <w:jc w:val="left"/>
        <w:rPr>
          <w:rFonts w:ascii="仿宋_GB2312" w:hAnsi="宋体" w:eastAsia="仿宋_GB2312" w:cs="宋体"/>
          <w:color w:val="333333"/>
          <w:kern w:val="0"/>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20500000000000000"/>
    <w:charset w:val="88"/>
    <w:family w:val="roman"/>
    <w:pitch w:val="default"/>
    <w:sig w:usb0="00000000" w:usb1="00000000" w:usb2="00000016" w:usb3="00000000" w:csb0="00100001" w:csb1="00000000"/>
  </w:font>
  <w:font w:name="PMingLiU-ExtB">
    <w:altName w:val="苹方-简"/>
    <w:panose1 w:val="02020500000000000000"/>
    <w:charset w:val="88"/>
    <w:family w:val="auto"/>
    <w:pitch w:val="default"/>
    <w:sig w:usb0="00000000" w:usb1="00000000" w:usb2="00000000" w:usb3="00000000" w:csb0="0010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方正舒体">
    <w:altName w:val="华文宋体"/>
    <w:panose1 w:val="02010601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方正细等线简体">
    <w:altName w:val="苹方-简"/>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粗黑宋简体">
    <w:altName w:val="冬青黑体简体中文"/>
    <w:panose1 w:val="02000000000000000000"/>
    <w:charset w:val="86"/>
    <w:family w:val="auto"/>
    <w:pitch w:val="default"/>
    <w:sig w:usb0="00000000" w:usb1="00000000" w:usb2="00000012" w:usb3="00000000" w:csb0="00040001" w:csb1="00000000"/>
  </w:font>
  <w:font w:name="方正楷体简体">
    <w:altName w:val="苹方-简"/>
    <w:panose1 w:val="00000000000000000000"/>
    <w:charset w:val="86"/>
    <w:family w:val="auto"/>
    <w:pitch w:val="default"/>
    <w:sig w:usb0="00000000" w:usb1="00000000" w:usb2="00000000" w:usb3="00000000" w:csb0="00000000" w:csb1="00000000"/>
  </w:font>
  <w:font w:name="新宋体">
    <w:altName w:val="方正书宋_GBK"/>
    <w:panose1 w:val="02010609030101010101"/>
    <w:charset w:val="86"/>
    <w:family w:val="modern"/>
    <w:pitch w:val="default"/>
    <w:sig w:usb0="00000000" w:usb1="00000000" w:usb2="00000006" w:usb3="00000000" w:csb0="00040001"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TimesNewRomanPSMT">
    <w:panose1 w:val="020206030504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275327"/>
    </w:sdtPr>
    <w:sdtContent>
      <w:sdt>
        <w:sdtPr>
          <w:id w:val="0"/>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12"/>
    <w:rsid w:val="000337F2"/>
    <w:rsid w:val="0003545A"/>
    <w:rsid w:val="00131C7E"/>
    <w:rsid w:val="00150DE4"/>
    <w:rsid w:val="00161170"/>
    <w:rsid w:val="00182F61"/>
    <w:rsid w:val="001E387C"/>
    <w:rsid w:val="00216BA9"/>
    <w:rsid w:val="00252335"/>
    <w:rsid w:val="00275845"/>
    <w:rsid w:val="002E31B0"/>
    <w:rsid w:val="002F03A6"/>
    <w:rsid w:val="0034226A"/>
    <w:rsid w:val="003A115B"/>
    <w:rsid w:val="003B2412"/>
    <w:rsid w:val="003F0F48"/>
    <w:rsid w:val="003F50B6"/>
    <w:rsid w:val="004D025E"/>
    <w:rsid w:val="004E10C6"/>
    <w:rsid w:val="004F10F3"/>
    <w:rsid w:val="00530846"/>
    <w:rsid w:val="00531377"/>
    <w:rsid w:val="005349EB"/>
    <w:rsid w:val="005535F7"/>
    <w:rsid w:val="00556E2B"/>
    <w:rsid w:val="00560D4C"/>
    <w:rsid w:val="005628AB"/>
    <w:rsid w:val="005C2DC8"/>
    <w:rsid w:val="0064351E"/>
    <w:rsid w:val="006451B1"/>
    <w:rsid w:val="00652736"/>
    <w:rsid w:val="006C5206"/>
    <w:rsid w:val="0071095B"/>
    <w:rsid w:val="00786847"/>
    <w:rsid w:val="007B72D8"/>
    <w:rsid w:val="007C0B54"/>
    <w:rsid w:val="008D7CE0"/>
    <w:rsid w:val="0097093C"/>
    <w:rsid w:val="009C6673"/>
    <w:rsid w:val="009D4FB7"/>
    <w:rsid w:val="009E4AA8"/>
    <w:rsid w:val="00A4755E"/>
    <w:rsid w:val="00A753AD"/>
    <w:rsid w:val="00A855AA"/>
    <w:rsid w:val="00AC3EE4"/>
    <w:rsid w:val="00AD66B3"/>
    <w:rsid w:val="00B728E3"/>
    <w:rsid w:val="00C121A3"/>
    <w:rsid w:val="00C820DA"/>
    <w:rsid w:val="00CE2011"/>
    <w:rsid w:val="00D0154C"/>
    <w:rsid w:val="00D4661C"/>
    <w:rsid w:val="00D84122"/>
    <w:rsid w:val="00E01AA5"/>
    <w:rsid w:val="00E5089E"/>
    <w:rsid w:val="00E91FA5"/>
    <w:rsid w:val="00EB405A"/>
    <w:rsid w:val="00EB4E05"/>
    <w:rsid w:val="00EB77CE"/>
    <w:rsid w:val="00EC1F8E"/>
    <w:rsid w:val="00ED4CAE"/>
    <w:rsid w:val="00F10328"/>
    <w:rsid w:val="13FC5E2B"/>
    <w:rsid w:val="18AE6959"/>
    <w:rsid w:val="1FF7EF5A"/>
    <w:rsid w:val="49156F02"/>
    <w:rsid w:val="4F1D7CDE"/>
    <w:rsid w:val="7CB43D92"/>
    <w:rsid w:val="ECFB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673</Characters>
  <Lines>5</Lines>
  <Paragraphs>1</Paragraphs>
  <ScaleCrop>false</ScaleCrop>
  <LinksUpToDate>false</LinksUpToDate>
  <CharactersWithSpaces>789</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2020-09-28T21:54:00Z</dcterms:created>
  <dc:creator>l</dc:creator>
  <cp:lastModifiedBy>jiameiyang</cp:lastModifiedBy>
  <cp:lastPrinted>2019-05-10T18:05:00Z</cp:lastPrinted>
  <dcterms:modified xsi:type="dcterms:W3CDTF">2022-08-30T14:11:55Z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48A313DE061D453E92C3E595A0545051</vt:lpwstr>
  </property>
</Properties>
</file>