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48D73">
      <w:pPr>
        <w:jc w:val="center"/>
        <w:rPr>
          <w:rFonts w:ascii="黑体" w:hAnsi="黑体" w:eastAsia="黑体"/>
          <w:sz w:val="40"/>
          <w:szCs w:val="40"/>
        </w:rPr>
      </w:pPr>
      <w:r>
        <w:rPr>
          <w:rFonts w:hint="eastAsia" w:ascii="黑体" w:hAnsi="黑体" w:eastAsia="黑体"/>
          <w:sz w:val="40"/>
          <w:szCs w:val="40"/>
        </w:rPr>
        <w:t>医学技术学院辅修专业说明--</w:t>
      </w:r>
      <w:r>
        <w:rPr>
          <w:rFonts w:ascii="黑体" w:hAnsi="黑体" w:eastAsia="黑体"/>
          <w:sz w:val="40"/>
          <w:szCs w:val="40"/>
        </w:rPr>
        <w:t>生物医学工程</w:t>
      </w:r>
    </w:p>
    <w:tbl>
      <w:tblPr>
        <w:tblStyle w:val="5"/>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55"/>
        <w:gridCol w:w="565"/>
        <w:gridCol w:w="1781"/>
        <w:gridCol w:w="1448"/>
        <w:gridCol w:w="2773"/>
      </w:tblGrid>
      <w:tr w14:paraId="304FA6B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1712" w:type="dxa"/>
            <w:tcBorders>
              <w:top w:val="outset" w:color="auto" w:sz="6" w:space="0"/>
              <w:left w:val="outset" w:color="auto" w:sz="6" w:space="0"/>
              <w:bottom w:val="outset" w:color="auto" w:sz="6" w:space="0"/>
              <w:right w:val="outset" w:color="auto" w:sz="6" w:space="0"/>
            </w:tcBorders>
            <w:vAlign w:val="center"/>
          </w:tcPr>
          <w:p w14:paraId="38735C08">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申报学院</w:t>
            </w:r>
          </w:p>
        </w:tc>
        <w:tc>
          <w:tcPr>
            <w:tcW w:w="2373" w:type="dxa"/>
            <w:gridSpan w:val="2"/>
            <w:tcBorders>
              <w:top w:val="outset" w:color="auto" w:sz="6" w:space="0"/>
              <w:left w:val="outset" w:color="auto" w:sz="6" w:space="0"/>
              <w:bottom w:val="outset" w:color="auto" w:sz="6" w:space="0"/>
              <w:right w:val="outset" w:color="auto" w:sz="6" w:space="0"/>
            </w:tcBorders>
            <w:vAlign w:val="center"/>
          </w:tcPr>
          <w:p w14:paraId="3C9E5DEC">
            <w:pPr>
              <w:widowControl/>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医学技术学院</w:t>
            </w:r>
          </w:p>
        </w:tc>
        <w:tc>
          <w:tcPr>
            <w:tcW w:w="1354" w:type="dxa"/>
            <w:tcBorders>
              <w:top w:val="outset" w:color="auto" w:sz="6" w:space="0"/>
              <w:left w:val="outset" w:color="auto" w:sz="6" w:space="0"/>
              <w:bottom w:val="outset" w:color="auto" w:sz="6" w:space="0"/>
              <w:right w:val="outset" w:color="auto" w:sz="6" w:space="0"/>
            </w:tcBorders>
            <w:vAlign w:val="center"/>
          </w:tcPr>
          <w:p w14:paraId="2285F75C">
            <w:pPr>
              <w:widowControl/>
              <w:ind w:firstLine="14"/>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申报专业</w:t>
            </w:r>
          </w:p>
        </w:tc>
        <w:tc>
          <w:tcPr>
            <w:tcW w:w="2851" w:type="dxa"/>
            <w:tcBorders>
              <w:top w:val="outset" w:color="auto" w:sz="6" w:space="0"/>
              <w:left w:val="outset" w:color="auto" w:sz="6" w:space="0"/>
              <w:bottom w:val="outset" w:color="auto" w:sz="6" w:space="0"/>
              <w:right w:val="outset" w:color="auto" w:sz="6" w:space="0"/>
            </w:tcBorders>
            <w:vAlign w:val="center"/>
          </w:tcPr>
          <w:p w14:paraId="086F48FC">
            <w:pPr>
              <w:widowControl/>
              <w:jc w:val="center"/>
              <w:rPr>
                <w:rFonts w:ascii="仿宋_GB2312" w:hAnsi="宋体" w:eastAsia="仿宋_GB2312" w:cs="宋体"/>
                <w:color w:val="333333"/>
                <w:kern w:val="0"/>
                <w:sz w:val="24"/>
                <w:szCs w:val="24"/>
              </w:rPr>
            </w:pPr>
            <w:r>
              <w:rPr>
                <w:rFonts w:ascii="仿宋_GB2312" w:hAnsi="宋体" w:eastAsia="仿宋_GB2312" w:cs="宋体"/>
                <w:color w:val="333333"/>
                <w:kern w:val="0"/>
                <w:sz w:val="24"/>
                <w:szCs w:val="24"/>
              </w:rPr>
              <w:t>生物医学工程</w:t>
            </w:r>
          </w:p>
        </w:tc>
      </w:tr>
      <w:tr w14:paraId="299E4B9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2260" w:type="dxa"/>
            <w:gridSpan w:val="2"/>
            <w:tcBorders>
              <w:top w:val="outset" w:color="auto" w:sz="6" w:space="0"/>
              <w:left w:val="outset" w:color="auto" w:sz="6" w:space="0"/>
              <w:bottom w:val="outset" w:color="auto" w:sz="6" w:space="0"/>
              <w:right w:val="outset" w:color="auto" w:sz="6" w:space="0"/>
            </w:tcBorders>
            <w:vAlign w:val="center"/>
          </w:tcPr>
          <w:p w14:paraId="7ABC8D87">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与本专业相近专业</w:t>
            </w:r>
          </w:p>
        </w:tc>
        <w:tc>
          <w:tcPr>
            <w:tcW w:w="6030" w:type="dxa"/>
            <w:gridSpan w:val="3"/>
            <w:tcBorders>
              <w:top w:val="outset" w:color="auto" w:sz="6" w:space="0"/>
              <w:left w:val="outset" w:color="auto" w:sz="6" w:space="0"/>
              <w:bottom w:val="outset" w:color="auto" w:sz="6" w:space="0"/>
              <w:right w:val="outset" w:color="auto" w:sz="6" w:space="0"/>
            </w:tcBorders>
            <w:vAlign w:val="center"/>
          </w:tcPr>
          <w:p w14:paraId="2E8E7153">
            <w:pPr>
              <w:widowControl/>
              <w:jc w:val="center"/>
              <w:rPr>
                <w:rFonts w:ascii="仿宋_GB2312" w:hAnsi="宋体" w:eastAsia="仿宋_GB2312" w:cs="宋体"/>
                <w:color w:val="333333"/>
                <w:kern w:val="0"/>
                <w:sz w:val="24"/>
                <w:szCs w:val="24"/>
              </w:rPr>
            </w:pPr>
            <w:r>
              <w:rPr>
                <w:rFonts w:ascii="仿宋_GB2312" w:hAnsi="宋体" w:eastAsia="仿宋_GB2312" w:cs="宋体"/>
                <w:color w:val="333333"/>
                <w:kern w:val="0"/>
                <w:sz w:val="24"/>
                <w:szCs w:val="24"/>
              </w:rPr>
              <w:t>电子信息工程</w:t>
            </w:r>
            <w:r>
              <w:rPr>
                <w:rFonts w:hint="eastAsia" w:ascii="仿宋_GB2312" w:hAnsi="宋体" w:eastAsia="仿宋_GB2312" w:cs="宋体"/>
                <w:color w:val="333333"/>
                <w:kern w:val="0"/>
                <w:sz w:val="24"/>
                <w:szCs w:val="24"/>
              </w:rPr>
              <w:t>、</w:t>
            </w:r>
            <w:r>
              <w:rPr>
                <w:rFonts w:ascii="仿宋_GB2312" w:hAnsi="宋体" w:eastAsia="仿宋_GB2312" w:cs="宋体"/>
                <w:color w:val="333333"/>
                <w:kern w:val="0"/>
                <w:sz w:val="24"/>
                <w:szCs w:val="24"/>
              </w:rPr>
              <w:t>机械工程</w:t>
            </w:r>
            <w:r>
              <w:rPr>
                <w:rFonts w:hint="eastAsia" w:ascii="仿宋_GB2312" w:hAnsi="宋体" w:eastAsia="仿宋_GB2312" w:cs="宋体"/>
                <w:color w:val="333333"/>
                <w:kern w:val="0"/>
                <w:sz w:val="24"/>
                <w:szCs w:val="24"/>
              </w:rPr>
              <w:t>、</w:t>
            </w:r>
            <w:r>
              <w:rPr>
                <w:rFonts w:ascii="仿宋_GB2312" w:hAnsi="宋体" w:eastAsia="仿宋_GB2312" w:cs="宋体"/>
                <w:color w:val="333333"/>
                <w:kern w:val="0"/>
                <w:sz w:val="24"/>
                <w:szCs w:val="24"/>
              </w:rPr>
              <w:t>光电工程</w:t>
            </w:r>
            <w:r>
              <w:rPr>
                <w:rFonts w:hint="eastAsia" w:ascii="仿宋_GB2312" w:hAnsi="宋体" w:eastAsia="仿宋_GB2312" w:cs="宋体"/>
                <w:color w:val="333333"/>
                <w:kern w:val="0"/>
                <w:sz w:val="24"/>
                <w:szCs w:val="24"/>
              </w:rPr>
              <w:t>、</w:t>
            </w:r>
            <w:r>
              <w:rPr>
                <w:rFonts w:ascii="仿宋_GB2312" w:hAnsi="宋体" w:eastAsia="仿宋_GB2312" w:cs="宋体"/>
                <w:color w:val="333333"/>
                <w:kern w:val="0"/>
                <w:sz w:val="24"/>
                <w:szCs w:val="24"/>
              </w:rPr>
              <w:t>计算机科学与技术</w:t>
            </w:r>
          </w:p>
        </w:tc>
      </w:tr>
      <w:tr w14:paraId="519C9C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10" w:hRule="atLeast"/>
          <w:jc w:val="center"/>
        </w:trPr>
        <w:tc>
          <w:tcPr>
            <w:tcW w:w="8290" w:type="dxa"/>
            <w:gridSpan w:val="5"/>
            <w:tcBorders>
              <w:top w:val="outset" w:color="auto" w:sz="6" w:space="0"/>
              <w:left w:val="outset" w:color="auto" w:sz="6" w:space="0"/>
              <w:bottom w:val="outset" w:color="auto" w:sz="6" w:space="0"/>
              <w:right w:val="outset" w:color="auto" w:sz="6" w:space="0"/>
            </w:tcBorders>
          </w:tcPr>
          <w:p w14:paraId="38C7339B">
            <w:pPr>
              <w:pStyle w:val="8"/>
              <w:widowControl/>
              <w:numPr>
                <w:ilvl w:val="0"/>
                <w:numId w:val="1"/>
              </w:numPr>
              <w:ind w:firstLineChars="0"/>
              <w:jc w:val="left"/>
              <w:rPr>
                <w:rFonts w:ascii="楷体_GB2312" w:hAnsi="宋体" w:eastAsia="楷体_GB2312" w:cs="宋体"/>
                <w:b/>
                <w:color w:val="333333"/>
                <w:kern w:val="0"/>
                <w:sz w:val="28"/>
                <w:szCs w:val="28"/>
              </w:rPr>
            </w:pPr>
            <w:r>
              <w:rPr>
                <w:rFonts w:hint="eastAsia" w:ascii="楷体_GB2312" w:hAnsi="宋体" w:eastAsia="楷体_GB2312" w:cs="宋体"/>
                <w:b/>
                <w:color w:val="333333"/>
                <w:kern w:val="0"/>
                <w:sz w:val="28"/>
                <w:szCs w:val="28"/>
              </w:rPr>
              <w:t>专业简介</w:t>
            </w:r>
          </w:p>
          <w:p w14:paraId="4D1380EC">
            <w:pPr>
              <w:spacing w:before="156" w:beforeLines="50"/>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生物医学工程是应用理学原理和工程技术，研究和解决生物学、医学中的相关问题。该专业涉及医学成像和图像处理、生物医学信号提取和处理、生物材料、生物力学、生物光子学等，通过综合多种工程技术和科学理论，服务于疾病的预防、诊断、治疗和康复服务，保障人类健康。</w:t>
            </w:r>
          </w:p>
          <w:p w14:paraId="0045BFBF">
            <w:pPr>
              <w:spacing w:before="156" w:beforeLines="50"/>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北京理工大学的生物医学工程（</w:t>
            </w:r>
            <w:r>
              <w:rPr>
                <w:rFonts w:ascii="Times New Roman" w:hAnsi="Times New Roman" w:eastAsia="仿宋_GB2312" w:cs="Times New Roman"/>
                <w:color w:val="000000" w:themeColor="text1"/>
                <w:sz w:val="24"/>
                <w:szCs w:val="24"/>
                <w14:textFill>
                  <w14:solidFill>
                    <w14:schemeClr w14:val="tx1"/>
                  </w14:solidFill>
                </w14:textFill>
              </w:rPr>
              <w:t>Biomedical Engineering）专业是在优势的工科基础上，与生物医学高度交叉发展起来的。2003 年开始以生物工程专业（生物医学工程方向）开始招生，2006年正式获批专业，2011年被批准为教育部卓越工程师计划专业。目前本专业拥有生物医学工程一级学科硕士点（2003年）和一级学科博士点（2011年）。2007 年获批国防特色学科“空间生物与医学工程”，2013年获批工信部重点学科 “融合医工学”并成为自主增列的二级学科博士点。</w:t>
            </w:r>
          </w:p>
          <w:p w14:paraId="0ED9A5FB">
            <w:pPr>
              <w:spacing w:before="156" w:beforeLines="50"/>
              <w:ind w:firstLine="480" w:firstLineChars="200"/>
              <w:rPr>
                <w:rFonts w:ascii="仿宋_GB2312" w:hAnsi="宋体" w:eastAsia="仿宋_GB2312" w:cs="宋体"/>
                <w:color w:val="333333"/>
                <w:kern w:val="0"/>
                <w:sz w:val="28"/>
                <w:szCs w:val="28"/>
              </w:rPr>
            </w:pPr>
            <w:r>
              <w:rPr>
                <w:rFonts w:hint="eastAsia" w:ascii="Times New Roman" w:hAnsi="Times New Roman" w:eastAsia="仿宋_GB2312" w:cs="Times New Roman"/>
                <w:color w:val="000000" w:themeColor="text1"/>
                <w:sz w:val="24"/>
                <w:szCs w:val="24"/>
                <w14:textFill>
                  <w14:solidFill>
                    <w14:schemeClr w14:val="tx1"/>
                  </w14:solidFill>
                </w14:textFill>
              </w:rPr>
              <w:t>2</w:t>
            </w:r>
            <w:r>
              <w:rPr>
                <w:rFonts w:ascii="Times New Roman" w:hAnsi="Times New Roman" w:eastAsia="仿宋_GB2312" w:cs="Times New Roman"/>
                <w:color w:val="000000" w:themeColor="text1"/>
                <w:sz w:val="24"/>
                <w:szCs w:val="24"/>
                <w14:textFill>
                  <w14:solidFill>
                    <w14:schemeClr w14:val="tx1"/>
                  </w14:solidFill>
                </w14:textFill>
              </w:rPr>
              <w:t>018年</w:t>
            </w:r>
            <w:r>
              <w:rPr>
                <w:rFonts w:hint="eastAsia" w:ascii="Times New Roman" w:hAnsi="Times New Roman" w:eastAsia="仿宋_GB2312" w:cs="Times New Roman"/>
                <w:color w:val="000000" w:themeColor="text1"/>
                <w:sz w:val="24"/>
                <w:szCs w:val="24"/>
                <w14:textFill>
                  <w14:solidFill>
                    <w14:schemeClr w14:val="tx1"/>
                  </w14:solidFill>
                </w14:textFill>
              </w:rPr>
              <w:t>，</w:t>
            </w:r>
            <w:r>
              <w:rPr>
                <w:rFonts w:ascii="Times New Roman" w:hAnsi="Times New Roman" w:eastAsia="仿宋_GB2312" w:cs="Times New Roman"/>
                <w:color w:val="000000" w:themeColor="text1"/>
                <w:sz w:val="24"/>
                <w:szCs w:val="24"/>
                <w14:textFill>
                  <w14:solidFill>
                    <w14:schemeClr w14:val="tx1"/>
                  </w14:solidFill>
                </w14:textFill>
              </w:rPr>
              <w:t>本专业牵头建设</w:t>
            </w:r>
            <w:r>
              <w:rPr>
                <w:rFonts w:hint="eastAsia" w:ascii="Times New Roman" w:hAnsi="Times New Roman" w:eastAsia="仿宋_GB2312" w:cs="Times New Roman"/>
                <w:color w:val="000000" w:themeColor="text1"/>
                <w:sz w:val="24"/>
                <w:szCs w:val="24"/>
                <w14:textFill>
                  <w14:solidFill>
                    <w14:schemeClr w14:val="tx1"/>
                  </w14:solidFill>
                </w14:textFill>
              </w:rPr>
              <w:t>“医工融合学科群”，以“保障人类健康，服务国防安全”为目标，以国家重大战略性需求为牵引，军民融合特色突出，依托生物医学工程、仪器科学与技术、化学工程与技术、计算机科学与技术、电子科学与技术等学科，融合医学及健康工程需求，协同发展。同年，北京理工大学医工融合研究院成立，并与河北医科大学 ，建设“医工融合实验班”，实现工科与健康工程的深入结合，探索学科新的增长点。</w:t>
            </w:r>
          </w:p>
          <w:p w14:paraId="4EC14C60">
            <w:pPr>
              <w:pStyle w:val="8"/>
              <w:widowControl/>
              <w:numPr>
                <w:ilvl w:val="0"/>
                <w:numId w:val="1"/>
              </w:numPr>
              <w:ind w:firstLineChars="0"/>
              <w:jc w:val="left"/>
              <w:rPr>
                <w:rFonts w:ascii="楷体_GB2312" w:hAnsi="宋体" w:eastAsia="楷体_GB2312" w:cs="宋体"/>
                <w:b/>
                <w:color w:val="333333"/>
                <w:kern w:val="0"/>
                <w:sz w:val="28"/>
                <w:szCs w:val="28"/>
              </w:rPr>
            </w:pPr>
            <w:r>
              <w:rPr>
                <w:rFonts w:hint="eastAsia" w:ascii="楷体_GB2312" w:hAnsi="宋体" w:eastAsia="楷体_GB2312" w:cs="宋体"/>
                <w:b/>
                <w:color w:val="333333"/>
                <w:kern w:val="0"/>
                <w:sz w:val="28"/>
                <w:szCs w:val="28"/>
              </w:rPr>
              <w:t>培养目标</w:t>
            </w:r>
          </w:p>
          <w:p w14:paraId="689BDDF0">
            <w:pPr>
              <w:spacing w:before="156" w:beforeLines="50"/>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生物医学工程专业贯彻“宽基础、强能力、重应用”的培养方针，以医学、生物学在工程方法及技术上的需求为导向，以北京理工大学的优势工科为基础，培养符合国家发展需求，有志于为人类健康服务的专业人才。通过系统的学习，学生可具备生命科学、电子技术、计算机技术、信息科学技术、机械工程方面的基础理论知识，具备医学与工程技术相结合的科学研究能力。具体培养目标包括：</w:t>
            </w:r>
          </w:p>
          <w:p w14:paraId="3E9E3527">
            <w:pPr>
              <w:spacing w:before="156" w:beforeLines="50"/>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1.培养学生良好的思想品质，建立其从事生物医学工程相关行业的职业道德；</w:t>
            </w:r>
          </w:p>
          <w:p w14:paraId="5669E166">
            <w:pPr>
              <w:spacing w:before="156" w:beforeLines="50"/>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2.掌握生物医学工程学科的基础理论，了解理学原理和工科技术在生物、医学问题中的基本应用方法；</w:t>
            </w:r>
          </w:p>
          <w:p w14:paraId="36F8E3CA">
            <w:pPr>
              <w:spacing w:before="156" w:beforeLines="50"/>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3.具备基本的医疗器械设计和制造实践能力和基本的医学工程实验技能；</w:t>
            </w:r>
          </w:p>
          <w:p w14:paraId="05479F24">
            <w:pPr>
              <w:spacing w:before="156" w:beforeLines="50"/>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4.掌握一门外语，并具备良好的口头和书面表达及沟通能力；</w:t>
            </w:r>
          </w:p>
          <w:p w14:paraId="27B0EAFE">
            <w:pPr>
              <w:spacing w:before="156" w:beforeLines="50"/>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5.了解本专业部分领域的前沿发展动态和方向，具备一定的科学研究素养；</w:t>
            </w:r>
          </w:p>
          <w:p w14:paraId="4933CD9E">
            <w:pPr>
              <w:spacing w:before="156" w:beforeLines="50"/>
              <w:ind w:firstLine="480" w:firstLineChars="200"/>
              <w:rPr>
                <w:rFonts w:ascii="仿宋_GB2312" w:hAnsi="宋体" w:eastAsia="仿宋_GB2312" w:cs="宋体"/>
                <w:color w:val="333333"/>
                <w:kern w:val="0"/>
                <w:sz w:val="28"/>
                <w:szCs w:val="28"/>
              </w:rPr>
            </w:pPr>
            <w:r>
              <w:rPr>
                <w:rFonts w:ascii="Times New Roman" w:hAnsi="Times New Roman" w:eastAsia="仿宋_GB2312" w:cs="Times New Roman"/>
                <w:color w:val="000000" w:themeColor="text1"/>
                <w:sz w:val="24"/>
                <w:szCs w:val="24"/>
                <w14:textFill>
                  <w14:solidFill>
                    <w14:schemeClr w14:val="tx1"/>
                  </w14:solidFill>
                </w14:textFill>
              </w:rPr>
              <w:t>6.具备良好的团队协作能力和一定的组织管理能力。</w:t>
            </w:r>
          </w:p>
          <w:p w14:paraId="6363FAD7">
            <w:pPr>
              <w:pStyle w:val="8"/>
              <w:widowControl/>
              <w:numPr>
                <w:ilvl w:val="0"/>
                <w:numId w:val="1"/>
              </w:numPr>
              <w:ind w:firstLineChars="0"/>
              <w:jc w:val="left"/>
              <w:rPr>
                <w:rFonts w:ascii="楷体_GB2312" w:hAnsi="宋体" w:eastAsia="楷体_GB2312" w:cs="宋体"/>
                <w:b/>
                <w:color w:val="333333"/>
                <w:kern w:val="0"/>
                <w:sz w:val="28"/>
                <w:szCs w:val="28"/>
              </w:rPr>
            </w:pPr>
            <w:r>
              <w:rPr>
                <w:rFonts w:hint="eastAsia" w:ascii="楷体_GB2312" w:hAnsi="宋体" w:eastAsia="楷体_GB2312" w:cs="宋体"/>
                <w:b/>
                <w:color w:val="333333"/>
                <w:kern w:val="0"/>
                <w:sz w:val="28"/>
                <w:szCs w:val="28"/>
              </w:rPr>
              <w:t>就业领域</w:t>
            </w:r>
          </w:p>
          <w:p w14:paraId="0D9AFF26">
            <w:pPr>
              <w:spacing w:before="156" w:beforeLines="50"/>
              <w:ind w:firstLine="480" w:firstLineChars="200"/>
              <w:rPr>
                <w:rFonts w:ascii="仿宋_GB2312" w:hAnsi="宋体" w:eastAsia="仿宋_GB2312" w:cs="宋体"/>
                <w:color w:val="333333"/>
                <w:kern w:val="0"/>
                <w:sz w:val="28"/>
                <w:szCs w:val="28"/>
              </w:rPr>
            </w:pPr>
            <w:r>
              <w:rPr>
                <w:rFonts w:ascii="Times New Roman" w:hAnsi="Times New Roman" w:eastAsia="仿宋_GB2312" w:cs="Times New Roman"/>
                <w:color w:val="000000" w:themeColor="text1"/>
                <w:sz w:val="24"/>
                <w:szCs w:val="24"/>
                <w14:textFill>
                  <w14:solidFill>
                    <w14:schemeClr w14:val="tx1"/>
                  </w14:solidFill>
                </w14:textFill>
              </w:rPr>
              <w:t>本专业所培养的人才</w:t>
            </w:r>
            <w:r>
              <w:rPr>
                <w:rFonts w:hint="eastAsia" w:ascii="Times New Roman" w:hAnsi="Times New Roman" w:eastAsia="仿宋_GB2312" w:cs="Times New Roman"/>
                <w:color w:val="000000" w:themeColor="text1"/>
                <w:sz w:val="24"/>
                <w:szCs w:val="24"/>
                <w14:textFill>
                  <w14:solidFill>
                    <w14:schemeClr w14:val="tx1"/>
                  </w14:solidFill>
                </w14:textFill>
              </w:rPr>
              <w:t>具备工科优势并理解临床需求，可服务于医疗、健康工程等相关行业。毕业生可在高等院校、研究机构、医院研发中心、政府监管机构、生物医药及医疗器械行业就业。</w:t>
            </w:r>
          </w:p>
          <w:p w14:paraId="0E3AFDA5">
            <w:pPr>
              <w:pStyle w:val="8"/>
              <w:widowControl/>
              <w:numPr>
                <w:ilvl w:val="0"/>
                <w:numId w:val="1"/>
              </w:numPr>
              <w:ind w:firstLineChars="0"/>
              <w:jc w:val="left"/>
              <w:rPr>
                <w:rFonts w:ascii="楷体_GB2312" w:hAnsi="宋体" w:eastAsia="楷体_GB2312" w:cs="宋体"/>
                <w:b/>
                <w:color w:val="333333"/>
                <w:kern w:val="0"/>
                <w:sz w:val="28"/>
                <w:szCs w:val="28"/>
              </w:rPr>
            </w:pPr>
            <w:r>
              <w:rPr>
                <w:rFonts w:hint="eastAsia" w:ascii="楷体_GB2312" w:hAnsi="宋体" w:eastAsia="楷体_GB2312" w:cs="宋体"/>
                <w:b/>
                <w:color w:val="333333"/>
                <w:kern w:val="0"/>
                <w:sz w:val="28"/>
                <w:szCs w:val="28"/>
              </w:rPr>
              <w:t>培养方案（详见下表）</w:t>
            </w:r>
          </w:p>
          <w:tbl>
            <w:tblPr>
              <w:tblStyle w:val="6"/>
              <w:tblW w:w="8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1"/>
              <w:gridCol w:w="3548"/>
              <w:gridCol w:w="850"/>
              <w:gridCol w:w="1244"/>
              <w:gridCol w:w="1244"/>
            </w:tblGrid>
            <w:tr w14:paraId="244E7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401" w:type="dxa"/>
                  <w:vAlign w:val="center"/>
                </w:tcPr>
                <w:p w14:paraId="08215632">
                  <w:pPr>
                    <w:widowControl/>
                    <w:jc w:val="center"/>
                    <w:rPr>
                      <w:rFonts w:ascii="楷体_GB2312" w:hAnsi="宋体" w:eastAsia="楷体_GB2312" w:cs="宋体"/>
                      <w:b/>
                      <w:color w:val="333333"/>
                      <w:kern w:val="0"/>
                      <w:sz w:val="24"/>
                      <w:szCs w:val="24"/>
                    </w:rPr>
                  </w:pPr>
                  <w:r>
                    <w:rPr>
                      <w:rFonts w:hint="eastAsia" w:ascii="楷体_GB2312" w:hAnsi="宋体" w:eastAsia="楷体_GB2312" w:cs="宋体"/>
                      <w:b/>
                      <w:color w:val="333333"/>
                      <w:kern w:val="0"/>
                      <w:sz w:val="24"/>
                      <w:szCs w:val="24"/>
                    </w:rPr>
                    <w:t>课程代码</w:t>
                  </w:r>
                </w:p>
              </w:tc>
              <w:tc>
                <w:tcPr>
                  <w:tcW w:w="3548" w:type="dxa"/>
                  <w:vAlign w:val="center"/>
                </w:tcPr>
                <w:p w14:paraId="01F478EF">
                  <w:pPr>
                    <w:widowControl/>
                    <w:jc w:val="center"/>
                    <w:rPr>
                      <w:rFonts w:ascii="楷体_GB2312" w:hAnsi="宋体" w:eastAsia="楷体_GB2312" w:cs="宋体"/>
                      <w:b/>
                      <w:color w:val="333333"/>
                      <w:kern w:val="0"/>
                      <w:sz w:val="24"/>
                      <w:szCs w:val="24"/>
                    </w:rPr>
                  </w:pPr>
                  <w:r>
                    <w:rPr>
                      <w:rFonts w:hint="eastAsia" w:ascii="楷体_GB2312" w:hAnsi="宋体" w:eastAsia="楷体_GB2312" w:cs="宋体"/>
                      <w:b/>
                      <w:color w:val="333333"/>
                      <w:kern w:val="0"/>
                      <w:sz w:val="24"/>
                      <w:szCs w:val="24"/>
                    </w:rPr>
                    <w:t>课程名称</w:t>
                  </w:r>
                </w:p>
              </w:tc>
              <w:tc>
                <w:tcPr>
                  <w:tcW w:w="850" w:type="dxa"/>
                  <w:vAlign w:val="center"/>
                </w:tcPr>
                <w:p w14:paraId="1AD02837">
                  <w:pPr>
                    <w:widowControl/>
                    <w:jc w:val="center"/>
                    <w:rPr>
                      <w:rFonts w:ascii="楷体_GB2312" w:hAnsi="宋体" w:eastAsia="楷体_GB2312" w:cs="宋体"/>
                      <w:b/>
                      <w:color w:val="333333"/>
                      <w:kern w:val="0"/>
                      <w:sz w:val="24"/>
                      <w:szCs w:val="24"/>
                    </w:rPr>
                  </w:pPr>
                  <w:r>
                    <w:rPr>
                      <w:rFonts w:hint="eastAsia" w:ascii="楷体_GB2312" w:hAnsi="宋体" w:eastAsia="楷体_GB2312" w:cs="宋体"/>
                      <w:b/>
                      <w:color w:val="333333"/>
                      <w:kern w:val="0"/>
                      <w:sz w:val="24"/>
                      <w:szCs w:val="24"/>
                    </w:rPr>
                    <w:t>学分</w:t>
                  </w:r>
                </w:p>
              </w:tc>
              <w:tc>
                <w:tcPr>
                  <w:tcW w:w="1244" w:type="dxa"/>
                </w:tcPr>
                <w:p w14:paraId="564731F4">
                  <w:pPr>
                    <w:widowControl/>
                    <w:jc w:val="center"/>
                    <w:rPr>
                      <w:rFonts w:ascii="楷体_GB2312" w:hAnsi="宋体" w:eastAsia="楷体_GB2312" w:cs="宋体"/>
                      <w:b/>
                      <w:color w:val="333333"/>
                      <w:kern w:val="0"/>
                      <w:sz w:val="24"/>
                      <w:szCs w:val="24"/>
                    </w:rPr>
                  </w:pPr>
                  <w:r>
                    <w:rPr>
                      <w:rFonts w:hint="eastAsia" w:ascii="楷体_GB2312" w:hAnsi="宋体" w:eastAsia="楷体_GB2312" w:cs="宋体"/>
                      <w:b/>
                      <w:color w:val="333333"/>
                      <w:kern w:val="0"/>
                      <w:sz w:val="24"/>
                      <w:szCs w:val="24"/>
                    </w:rPr>
                    <w:t>本学期是否开课</w:t>
                  </w:r>
                </w:p>
              </w:tc>
              <w:tc>
                <w:tcPr>
                  <w:tcW w:w="1244" w:type="dxa"/>
                  <w:vAlign w:val="center"/>
                </w:tcPr>
                <w:p w14:paraId="3EA39316">
                  <w:pPr>
                    <w:widowControl/>
                    <w:jc w:val="center"/>
                    <w:rPr>
                      <w:rFonts w:ascii="楷体_GB2312" w:hAnsi="宋体" w:eastAsia="楷体_GB2312" w:cs="宋体"/>
                      <w:b/>
                      <w:color w:val="333333"/>
                      <w:kern w:val="0"/>
                      <w:sz w:val="24"/>
                      <w:szCs w:val="24"/>
                    </w:rPr>
                  </w:pPr>
                  <w:r>
                    <w:rPr>
                      <w:rFonts w:hint="eastAsia" w:ascii="楷体_GB2312" w:hAnsi="宋体" w:eastAsia="楷体_GB2312" w:cs="宋体"/>
                      <w:b/>
                      <w:color w:val="333333"/>
                      <w:kern w:val="0"/>
                      <w:sz w:val="24"/>
                      <w:szCs w:val="24"/>
                    </w:rPr>
                    <w:t>备注</w:t>
                  </w:r>
                </w:p>
              </w:tc>
            </w:tr>
            <w:tr w14:paraId="20E34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shd w:val="clear"/>
                  <w:vAlign w:val="center"/>
                </w:tcPr>
                <w:p w14:paraId="71A939A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100410104</w:t>
                  </w:r>
                </w:p>
              </w:tc>
              <w:tc>
                <w:tcPr>
                  <w:tcW w:w="3548" w:type="dxa"/>
                  <w:vAlign w:val="center"/>
                </w:tcPr>
                <w:p w14:paraId="041524AB">
                  <w:pPr>
                    <w:widowControl/>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人体解剖生理学</w:t>
                  </w:r>
                </w:p>
              </w:tc>
              <w:tc>
                <w:tcPr>
                  <w:tcW w:w="850" w:type="dxa"/>
                  <w:vAlign w:val="center"/>
                </w:tcPr>
                <w:p w14:paraId="3A2C70BD">
                  <w:pPr>
                    <w:widowControl/>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4</w:t>
                  </w:r>
                </w:p>
              </w:tc>
              <w:tc>
                <w:tcPr>
                  <w:tcW w:w="1244" w:type="dxa"/>
                  <w:vAlign w:val="center"/>
                </w:tcPr>
                <w:p w14:paraId="30F7B7CB">
                  <w:pPr>
                    <w:widowControl/>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是</w:t>
                  </w:r>
                </w:p>
              </w:tc>
              <w:tc>
                <w:tcPr>
                  <w:tcW w:w="1244" w:type="dxa"/>
                  <w:vAlign w:val="center"/>
                </w:tcPr>
                <w:p w14:paraId="55EDDA7A">
                  <w:pPr>
                    <w:widowControl/>
                    <w:jc w:val="center"/>
                    <w:rPr>
                      <w:rFonts w:ascii="仿宋_GB2312" w:hAnsi="宋体" w:eastAsia="仿宋_GB2312" w:cs="宋体"/>
                      <w:color w:val="333333"/>
                      <w:kern w:val="0"/>
                      <w:sz w:val="24"/>
                      <w:szCs w:val="24"/>
                    </w:rPr>
                  </w:pPr>
                  <w:r>
                    <w:rPr>
                      <w:rFonts w:ascii="仿宋_GB2312" w:hAnsi="宋体" w:eastAsia="仿宋_GB2312" w:cs="宋体"/>
                      <w:color w:val="333333"/>
                      <w:kern w:val="0"/>
                      <w:sz w:val="24"/>
                      <w:szCs w:val="24"/>
                    </w:rPr>
                    <w:t>专业必修</w:t>
                  </w:r>
                </w:p>
              </w:tc>
            </w:tr>
            <w:tr w14:paraId="66854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shd w:val="clear"/>
                  <w:vAlign w:val="center"/>
                </w:tcPr>
                <w:p w14:paraId="4B74025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100410105</w:t>
                  </w:r>
                </w:p>
              </w:tc>
              <w:tc>
                <w:tcPr>
                  <w:tcW w:w="3548" w:type="dxa"/>
                  <w:vAlign w:val="center"/>
                </w:tcPr>
                <w:p w14:paraId="3C8A14A0">
                  <w:pPr>
                    <w:widowControl/>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人体解剖生理学实验</w:t>
                  </w:r>
                </w:p>
              </w:tc>
              <w:tc>
                <w:tcPr>
                  <w:tcW w:w="850" w:type="dxa"/>
                  <w:vAlign w:val="center"/>
                </w:tcPr>
                <w:p w14:paraId="18461C3D">
                  <w:pPr>
                    <w:widowControl/>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1</w:t>
                  </w:r>
                </w:p>
              </w:tc>
              <w:tc>
                <w:tcPr>
                  <w:tcW w:w="1244" w:type="dxa"/>
                  <w:vAlign w:val="center"/>
                </w:tcPr>
                <w:p w14:paraId="408590C3">
                  <w:pPr>
                    <w:widowControl/>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是</w:t>
                  </w:r>
                </w:p>
              </w:tc>
              <w:tc>
                <w:tcPr>
                  <w:tcW w:w="1244" w:type="dxa"/>
                  <w:vAlign w:val="center"/>
                </w:tcPr>
                <w:p w14:paraId="54B60908">
                  <w:pPr>
                    <w:widowControl/>
                    <w:jc w:val="center"/>
                    <w:rPr>
                      <w:rFonts w:ascii="仿宋_GB2312" w:hAnsi="宋体" w:eastAsia="仿宋_GB2312" w:cs="宋体"/>
                      <w:color w:val="333333"/>
                      <w:kern w:val="0"/>
                      <w:sz w:val="24"/>
                      <w:szCs w:val="24"/>
                    </w:rPr>
                  </w:pPr>
                  <w:r>
                    <w:rPr>
                      <w:rFonts w:ascii="仿宋_GB2312" w:hAnsi="宋体" w:eastAsia="仿宋_GB2312" w:cs="宋体"/>
                      <w:color w:val="333333"/>
                      <w:kern w:val="0"/>
                      <w:sz w:val="24"/>
                      <w:szCs w:val="24"/>
                    </w:rPr>
                    <w:t>专业必修</w:t>
                  </w:r>
                </w:p>
              </w:tc>
            </w:tr>
            <w:tr w14:paraId="3A12D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shd w:val="clear"/>
                  <w:vAlign w:val="center"/>
                </w:tcPr>
                <w:p w14:paraId="22D786F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100410108</w:t>
                  </w:r>
                </w:p>
              </w:tc>
              <w:tc>
                <w:tcPr>
                  <w:tcW w:w="3548" w:type="dxa"/>
                  <w:vAlign w:val="center"/>
                </w:tcPr>
                <w:p w14:paraId="41623462">
                  <w:pPr>
                    <w:widowControl/>
                    <w:jc w:val="center"/>
                    <w:rPr>
                      <w:rFonts w:ascii="仿宋_GB2312" w:hAnsi="宋体" w:eastAsia="仿宋_GB2312" w:cs="宋体"/>
                      <w:color w:val="333333"/>
                      <w:kern w:val="0"/>
                      <w:sz w:val="24"/>
                      <w:szCs w:val="24"/>
                    </w:rPr>
                  </w:pPr>
                  <w:r>
                    <w:rPr>
                      <w:rFonts w:ascii="仿宋_GB2312" w:hAnsi="宋体" w:eastAsia="仿宋_GB2312" w:cs="宋体"/>
                      <w:color w:val="333333"/>
                      <w:kern w:val="0"/>
                      <w:sz w:val="24"/>
                      <w:szCs w:val="24"/>
                    </w:rPr>
                    <w:t>信号与系统</w:t>
                  </w:r>
                </w:p>
              </w:tc>
              <w:tc>
                <w:tcPr>
                  <w:tcW w:w="850" w:type="dxa"/>
                  <w:vAlign w:val="center"/>
                </w:tcPr>
                <w:p w14:paraId="6F806E56">
                  <w:pPr>
                    <w:widowControl/>
                    <w:jc w:val="center"/>
                    <w:rPr>
                      <w:rFonts w:ascii="仿宋_GB2312" w:hAnsi="宋体" w:eastAsia="仿宋_GB2312" w:cs="宋体"/>
                      <w:color w:val="333333"/>
                      <w:kern w:val="0"/>
                      <w:sz w:val="24"/>
                      <w:szCs w:val="24"/>
                    </w:rPr>
                  </w:pPr>
                  <w:r>
                    <w:rPr>
                      <w:rFonts w:ascii="仿宋_GB2312" w:hAnsi="宋体" w:eastAsia="仿宋_GB2312" w:cs="宋体"/>
                      <w:color w:val="333333"/>
                      <w:kern w:val="0"/>
                      <w:sz w:val="24"/>
                      <w:szCs w:val="24"/>
                    </w:rPr>
                    <w:t>4</w:t>
                  </w:r>
                </w:p>
              </w:tc>
              <w:tc>
                <w:tcPr>
                  <w:tcW w:w="1244" w:type="dxa"/>
                  <w:vAlign w:val="center"/>
                </w:tcPr>
                <w:p w14:paraId="6E858525">
                  <w:pPr>
                    <w:widowControl/>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是</w:t>
                  </w:r>
                </w:p>
              </w:tc>
              <w:tc>
                <w:tcPr>
                  <w:tcW w:w="1244" w:type="dxa"/>
                  <w:vAlign w:val="center"/>
                </w:tcPr>
                <w:p w14:paraId="2D15D82C">
                  <w:pPr>
                    <w:widowControl/>
                    <w:jc w:val="center"/>
                    <w:rPr>
                      <w:rFonts w:ascii="仿宋_GB2312" w:hAnsi="宋体" w:eastAsia="仿宋_GB2312" w:cs="宋体"/>
                      <w:color w:val="333333"/>
                      <w:kern w:val="0"/>
                      <w:sz w:val="24"/>
                      <w:szCs w:val="24"/>
                    </w:rPr>
                  </w:pPr>
                  <w:r>
                    <w:rPr>
                      <w:rFonts w:ascii="仿宋_GB2312" w:hAnsi="宋体" w:eastAsia="仿宋_GB2312" w:cs="宋体"/>
                      <w:color w:val="333333"/>
                      <w:kern w:val="0"/>
                      <w:sz w:val="24"/>
                      <w:szCs w:val="24"/>
                    </w:rPr>
                    <w:t>专业必修</w:t>
                  </w:r>
                </w:p>
              </w:tc>
            </w:tr>
            <w:tr w14:paraId="109F3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shd w:val="clear"/>
                  <w:vAlign w:val="center"/>
                </w:tcPr>
                <w:p w14:paraId="164FE98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100410109</w:t>
                  </w:r>
                </w:p>
              </w:tc>
              <w:tc>
                <w:tcPr>
                  <w:tcW w:w="3548" w:type="dxa"/>
                  <w:vAlign w:val="center"/>
                </w:tcPr>
                <w:p w14:paraId="12BF0BA2">
                  <w:pPr>
                    <w:widowControl/>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数字信号处理</w:t>
                  </w:r>
                </w:p>
              </w:tc>
              <w:tc>
                <w:tcPr>
                  <w:tcW w:w="850" w:type="dxa"/>
                  <w:vAlign w:val="center"/>
                </w:tcPr>
                <w:p w14:paraId="462DF7AE">
                  <w:pPr>
                    <w:widowControl/>
                    <w:jc w:val="center"/>
                    <w:rPr>
                      <w:rFonts w:ascii="仿宋_GB2312" w:hAnsi="宋体" w:eastAsia="仿宋_GB2312" w:cs="宋体"/>
                      <w:color w:val="333333"/>
                      <w:kern w:val="0"/>
                      <w:sz w:val="24"/>
                      <w:szCs w:val="24"/>
                    </w:rPr>
                  </w:pPr>
                  <w:r>
                    <w:rPr>
                      <w:rFonts w:ascii="仿宋_GB2312" w:hAnsi="宋体" w:eastAsia="仿宋_GB2312" w:cs="宋体"/>
                      <w:color w:val="333333"/>
                      <w:kern w:val="0"/>
                      <w:sz w:val="24"/>
                      <w:szCs w:val="24"/>
                    </w:rPr>
                    <w:t>3</w:t>
                  </w:r>
                </w:p>
              </w:tc>
              <w:tc>
                <w:tcPr>
                  <w:tcW w:w="1244" w:type="dxa"/>
                  <w:vAlign w:val="center"/>
                </w:tcPr>
                <w:p w14:paraId="32D41A79">
                  <w:pPr>
                    <w:widowControl/>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否</w:t>
                  </w:r>
                </w:p>
              </w:tc>
              <w:tc>
                <w:tcPr>
                  <w:tcW w:w="1244" w:type="dxa"/>
                  <w:vAlign w:val="center"/>
                </w:tcPr>
                <w:p w14:paraId="6C83A008">
                  <w:pPr>
                    <w:widowControl/>
                    <w:jc w:val="center"/>
                    <w:rPr>
                      <w:rFonts w:ascii="仿宋_GB2312" w:hAnsi="宋体" w:eastAsia="仿宋_GB2312" w:cs="宋体"/>
                      <w:color w:val="333333"/>
                      <w:kern w:val="0"/>
                      <w:sz w:val="24"/>
                      <w:szCs w:val="24"/>
                    </w:rPr>
                  </w:pPr>
                  <w:r>
                    <w:rPr>
                      <w:rFonts w:ascii="仿宋_GB2312" w:hAnsi="宋体" w:eastAsia="仿宋_GB2312" w:cs="宋体"/>
                      <w:color w:val="333333"/>
                      <w:kern w:val="0"/>
                      <w:sz w:val="24"/>
                      <w:szCs w:val="24"/>
                    </w:rPr>
                    <w:t>专业必修</w:t>
                  </w:r>
                </w:p>
              </w:tc>
            </w:tr>
            <w:tr w14:paraId="1A5CF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vAlign w:val="center"/>
                </w:tcPr>
                <w:p w14:paraId="65F1F59B">
                  <w:pPr>
                    <w:keepNext w:val="0"/>
                    <w:keepLines w:val="0"/>
                    <w:widowControl/>
                    <w:suppressLineNumbers w:val="0"/>
                    <w:jc w:val="right"/>
                    <w:textAlignment w:val="center"/>
                    <w:rPr>
                      <w:rFonts w:ascii="仿宋_GB2312" w:hAnsi="宋体" w:eastAsia="仿宋_GB2312" w:cs="宋体"/>
                      <w:color w:val="333333"/>
                      <w:kern w:val="0"/>
                      <w:sz w:val="24"/>
                      <w:szCs w:val="24"/>
                    </w:rPr>
                  </w:pPr>
                  <w:r>
                    <w:rPr>
                      <w:rFonts w:hint="eastAsia" w:ascii="宋体" w:hAnsi="宋体" w:eastAsia="宋体" w:cs="宋体"/>
                      <w:i w:val="0"/>
                      <w:iCs w:val="0"/>
                      <w:color w:val="000000"/>
                      <w:kern w:val="0"/>
                      <w:sz w:val="22"/>
                      <w:szCs w:val="22"/>
                      <w:u w:val="none"/>
                      <w:lang w:val="en-US" w:eastAsia="zh-CN" w:bidi="ar"/>
                    </w:rPr>
                    <w:t>100410110</w:t>
                  </w:r>
                </w:p>
              </w:tc>
              <w:tc>
                <w:tcPr>
                  <w:tcW w:w="3548" w:type="dxa"/>
                  <w:vAlign w:val="center"/>
                </w:tcPr>
                <w:p w14:paraId="0E68208A">
                  <w:pPr>
                    <w:widowControl/>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随机信号分析</w:t>
                  </w:r>
                </w:p>
              </w:tc>
              <w:tc>
                <w:tcPr>
                  <w:tcW w:w="850" w:type="dxa"/>
                  <w:vAlign w:val="center"/>
                </w:tcPr>
                <w:p w14:paraId="4BB510D2">
                  <w:pPr>
                    <w:widowControl/>
                    <w:jc w:val="center"/>
                    <w:rPr>
                      <w:rFonts w:ascii="仿宋_GB2312" w:hAnsi="宋体" w:eastAsia="仿宋_GB2312" w:cs="宋体"/>
                      <w:color w:val="333333"/>
                      <w:kern w:val="0"/>
                      <w:sz w:val="24"/>
                      <w:szCs w:val="24"/>
                    </w:rPr>
                  </w:pPr>
                  <w:r>
                    <w:rPr>
                      <w:rFonts w:ascii="仿宋_GB2312" w:hAnsi="宋体" w:eastAsia="仿宋_GB2312" w:cs="宋体"/>
                      <w:color w:val="333333"/>
                      <w:kern w:val="0"/>
                      <w:sz w:val="24"/>
                      <w:szCs w:val="24"/>
                    </w:rPr>
                    <w:t>3</w:t>
                  </w:r>
                </w:p>
              </w:tc>
              <w:tc>
                <w:tcPr>
                  <w:tcW w:w="1244" w:type="dxa"/>
                  <w:vAlign w:val="center"/>
                </w:tcPr>
                <w:p w14:paraId="190EC665">
                  <w:pPr>
                    <w:widowControl/>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否</w:t>
                  </w:r>
                </w:p>
              </w:tc>
              <w:tc>
                <w:tcPr>
                  <w:tcW w:w="1244" w:type="dxa"/>
                  <w:vAlign w:val="center"/>
                </w:tcPr>
                <w:p w14:paraId="7C531516">
                  <w:pPr>
                    <w:widowControl/>
                    <w:jc w:val="center"/>
                    <w:rPr>
                      <w:rFonts w:ascii="仿宋_GB2312" w:hAnsi="宋体" w:eastAsia="仿宋_GB2312" w:cs="宋体"/>
                      <w:color w:val="333333"/>
                      <w:kern w:val="0"/>
                      <w:sz w:val="24"/>
                      <w:szCs w:val="24"/>
                    </w:rPr>
                  </w:pPr>
                  <w:r>
                    <w:rPr>
                      <w:rFonts w:ascii="仿宋_GB2312" w:hAnsi="宋体" w:eastAsia="仿宋_GB2312" w:cs="宋体"/>
                      <w:color w:val="333333"/>
                      <w:kern w:val="0"/>
                      <w:sz w:val="24"/>
                      <w:szCs w:val="24"/>
                    </w:rPr>
                    <w:t>专业必修</w:t>
                  </w:r>
                </w:p>
              </w:tc>
            </w:tr>
            <w:tr w14:paraId="5A2A3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vAlign w:val="center"/>
                </w:tcPr>
                <w:p w14:paraId="0FC100A5">
                  <w:pPr>
                    <w:keepNext w:val="0"/>
                    <w:keepLines w:val="0"/>
                    <w:widowControl/>
                    <w:suppressLineNumbers w:val="0"/>
                    <w:jc w:val="right"/>
                    <w:textAlignment w:val="center"/>
                    <w:rPr>
                      <w:rFonts w:ascii="仿宋_GB2312" w:hAnsi="宋体" w:eastAsia="仿宋_GB2312" w:cs="宋体"/>
                      <w:color w:val="333333"/>
                      <w:kern w:val="0"/>
                      <w:sz w:val="24"/>
                      <w:szCs w:val="24"/>
                    </w:rPr>
                  </w:pPr>
                  <w:r>
                    <w:rPr>
                      <w:rFonts w:hint="eastAsia" w:ascii="宋体" w:hAnsi="宋体" w:eastAsia="宋体" w:cs="宋体"/>
                      <w:i w:val="0"/>
                      <w:iCs w:val="0"/>
                      <w:color w:val="000000"/>
                      <w:kern w:val="0"/>
                      <w:sz w:val="22"/>
                      <w:szCs w:val="22"/>
                      <w:u w:val="none"/>
                      <w:lang w:val="en-US" w:eastAsia="zh-CN" w:bidi="ar"/>
                    </w:rPr>
                    <w:t>100410111</w:t>
                  </w:r>
                </w:p>
              </w:tc>
              <w:tc>
                <w:tcPr>
                  <w:tcW w:w="3548" w:type="dxa"/>
                  <w:vAlign w:val="center"/>
                </w:tcPr>
                <w:p w14:paraId="7A4264DF">
                  <w:pPr>
                    <w:widowControl/>
                    <w:ind w:right="-73" w:rightChars="-35"/>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医学成像原理与图像处理</w:t>
                  </w:r>
                </w:p>
              </w:tc>
              <w:tc>
                <w:tcPr>
                  <w:tcW w:w="850" w:type="dxa"/>
                  <w:vAlign w:val="center"/>
                </w:tcPr>
                <w:p w14:paraId="6024C249">
                  <w:pPr>
                    <w:widowControl/>
                    <w:jc w:val="center"/>
                    <w:rPr>
                      <w:rFonts w:ascii="仿宋_GB2312" w:hAnsi="宋体" w:eastAsia="仿宋_GB2312" w:cs="宋体"/>
                      <w:color w:val="333333"/>
                      <w:kern w:val="0"/>
                      <w:sz w:val="24"/>
                      <w:szCs w:val="24"/>
                    </w:rPr>
                  </w:pPr>
                  <w:r>
                    <w:rPr>
                      <w:rFonts w:ascii="仿宋_GB2312" w:hAnsi="宋体" w:eastAsia="仿宋_GB2312" w:cs="宋体"/>
                      <w:color w:val="333333"/>
                      <w:kern w:val="0"/>
                      <w:sz w:val="24"/>
                      <w:szCs w:val="24"/>
                    </w:rPr>
                    <w:t>3</w:t>
                  </w:r>
                </w:p>
              </w:tc>
              <w:tc>
                <w:tcPr>
                  <w:tcW w:w="1244" w:type="dxa"/>
                  <w:vAlign w:val="center"/>
                </w:tcPr>
                <w:p w14:paraId="04165B3D">
                  <w:pPr>
                    <w:widowControl/>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是</w:t>
                  </w:r>
                </w:p>
              </w:tc>
              <w:tc>
                <w:tcPr>
                  <w:tcW w:w="1244" w:type="dxa"/>
                  <w:vAlign w:val="center"/>
                </w:tcPr>
                <w:p w14:paraId="7D3E4D59">
                  <w:pPr>
                    <w:widowControl/>
                    <w:jc w:val="center"/>
                    <w:rPr>
                      <w:rFonts w:ascii="仿宋_GB2312" w:hAnsi="宋体" w:eastAsia="仿宋_GB2312" w:cs="宋体"/>
                      <w:color w:val="333333"/>
                      <w:kern w:val="0"/>
                      <w:sz w:val="24"/>
                      <w:szCs w:val="24"/>
                    </w:rPr>
                  </w:pPr>
                  <w:r>
                    <w:rPr>
                      <w:rFonts w:ascii="仿宋_GB2312" w:hAnsi="宋体" w:eastAsia="仿宋_GB2312" w:cs="宋体"/>
                      <w:color w:val="333333"/>
                      <w:kern w:val="0"/>
                      <w:sz w:val="24"/>
                      <w:szCs w:val="24"/>
                    </w:rPr>
                    <w:t>专业必修</w:t>
                  </w:r>
                </w:p>
              </w:tc>
            </w:tr>
            <w:tr w14:paraId="558C8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vAlign w:val="center"/>
                </w:tcPr>
                <w:p w14:paraId="0149C18B">
                  <w:pPr>
                    <w:keepNext w:val="0"/>
                    <w:keepLines w:val="0"/>
                    <w:widowControl/>
                    <w:suppressLineNumbers w:val="0"/>
                    <w:jc w:val="right"/>
                    <w:textAlignment w:val="center"/>
                    <w:rPr>
                      <w:rFonts w:ascii="仿宋_GB2312" w:hAnsi="宋体" w:eastAsia="仿宋_GB2312" w:cs="宋体"/>
                      <w:color w:val="333333"/>
                      <w:kern w:val="0"/>
                      <w:sz w:val="24"/>
                      <w:szCs w:val="24"/>
                    </w:rPr>
                  </w:pPr>
                  <w:r>
                    <w:rPr>
                      <w:rFonts w:hint="eastAsia" w:ascii="宋体" w:hAnsi="宋体" w:eastAsia="宋体" w:cs="宋体"/>
                      <w:i w:val="0"/>
                      <w:iCs w:val="0"/>
                      <w:color w:val="000000"/>
                      <w:kern w:val="0"/>
                      <w:sz w:val="22"/>
                      <w:szCs w:val="22"/>
                      <w:u w:val="none"/>
                      <w:lang w:val="en-US" w:eastAsia="zh-CN" w:bidi="ar"/>
                    </w:rPr>
                    <w:t>100410112</w:t>
                  </w:r>
                </w:p>
              </w:tc>
              <w:tc>
                <w:tcPr>
                  <w:tcW w:w="3548" w:type="dxa"/>
                  <w:vAlign w:val="center"/>
                </w:tcPr>
                <w:p w14:paraId="05929A56">
                  <w:pPr>
                    <w:widowControl/>
                    <w:ind w:right="-73" w:rightChars="-35"/>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生物医学检验仪器</w:t>
                  </w:r>
                </w:p>
              </w:tc>
              <w:tc>
                <w:tcPr>
                  <w:tcW w:w="850" w:type="dxa"/>
                  <w:vAlign w:val="center"/>
                </w:tcPr>
                <w:p w14:paraId="6437887E">
                  <w:pPr>
                    <w:widowControl/>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3</w:t>
                  </w:r>
                </w:p>
              </w:tc>
              <w:tc>
                <w:tcPr>
                  <w:tcW w:w="1244" w:type="dxa"/>
                  <w:vAlign w:val="center"/>
                </w:tcPr>
                <w:p w14:paraId="0A4C5DAC">
                  <w:pPr>
                    <w:widowControl/>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是</w:t>
                  </w:r>
                </w:p>
              </w:tc>
              <w:tc>
                <w:tcPr>
                  <w:tcW w:w="1244" w:type="dxa"/>
                  <w:vAlign w:val="center"/>
                </w:tcPr>
                <w:p w14:paraId="417C3867">
                  <w:pPr>
                    <w:widowControl/>
                    <w:jc w:val="center"/>
                    <w:rPr>
                      <w:rFonts w:ascii="仿宋_GB2312" w:hAnsi="宋体" w:eastAsia="仿宋_GB2312" w:cs="宋体"/>
                      <w:color w:val="333333"/>
                      <w:kern w:val="0"/>
                      <w:sz w:val="24"/>
                      <w:szCs w:val="24"/>
                    </w:rPr>
                  </w:pPr>
                  <w:r>
                    <w:rPr>
                      <w:rFonts w:ascii="仿宋_GB2312" w:hAnsi="宋体" w:eastAsia="仿宋_GB2312" w:cs="宋体"/>
                      <w:color w:val="333333"/>
                      <w:kern w:val="0"/>
                      <w:sz w:val="24"/>
                      <w:szCs w:val="24"/>
                    </w:rPr>
                    <w:t>专业必修</w:t>
                  </w:r>
                </w:p>
              </w:tc>
            </w:tr>
            <w:tr w14:paraId="74600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vAlign w:val="center"/>
                </w:tcPr>
                <w:p w14:paraId="0C2AB426">
                  <w:pPr>
                    <w:keepNext w:val="0"/>
                    <w:keepLines w:val="0"/>
                    <w:widowControl/>
                    <w:suppressLineNumbers w:val="0"/>
                    <w:jc w:val="right"/>
                    <w:textAlignment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100410113</w:t>
                  </w:r>
                </w:p>
              </w:tc>
              <w:tc>
                <w:tcPr>
                  <w:tcW w:w="3548" w:type="dxa"/>
                  <w:vAlign w:val="center"/>
                </w:tcPr>
                <w:p w14:paraId="5D4DC203">
                  <w:pPr>
                    <w:widowControl/>
                    <w:ind w:right="-73" w:rightChars="-35"/>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生物医学信号检测与处理</w:t>
                  </w:r>
                </w:p>
              </w:tc>
              <w:tc>
                <w:tcPr>
                  <w:tcW w:w="850" w:type="dxa"/>
                  <w:vAlign w:val="center"/>
                </w:tcPr>
                <w:p w14:paraId="0B18CD60">
                  <w:pPr>
                    <w:widowControl/>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2</w:t>
                  </w:r>
                </w:p>
              </w:tc>
              <w:tc>
                <w:tcPr>
                  <w:tcW w:w="1244" w:type="dxa"/>
                  <w:vAlign w:val="center"/>
                </w:tcPr>
                <w:p w14:paraId="084F6294">
                  <w:pPr>
                    <w:widowControl/>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是</w:t>
                  </w:r>
                </w:p>
              </w:tc>
              <w:tc>
                <w:tcPr>
                  <w:tcW w:w="1244" w:type="dxa"/>
                  <w:vAlign w:val="center"/>
                </w:tcPr>
                <w:p w14:paraId="518B9F03">
                  <w:pPr>
                    <w:widowControl/>
                    <w:jc w:val="center"/>
                    <w:rPr>
                      <w:rFonts w:ascii="仿宋_GB2312" w:hAnsi="宋体" w:eastAsia="仿宋_GB2312" w:cs="宋体"/>
                      <w:color w:val="333333"/>
                      <w:kern w:val="0"/>
                      <w:sz w:val="24"/>
                      <w:szCs w:val="24"/>
                    </w:rPr>
                  </w:pPr>
                  <w:r>
                    <w:rPr>
                      <w:rFonts w:ascii="仿宋_GB2312" w:hAnsi="宋体" w:eastAsia="仿宋_GB2312" w:cs="宋体"/>
                      <w:color w:val="333333"/>
                      <w:kern w:val="0"/>
                      <w:sz w:val="24"/>
                      <w:szCs w:val="24"/>
                    </w:rPr>
                    <w:t>专业必修</w:t>
                  </w:r>
                </w:p>
              </w:tc>
            </w:tr>
            <w:tr w14:paraId="3B38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vAlign w:val="center"/>
                </w:tcPr>
                <w:p w14:paraId="22DFFFB0">
                  <w:pPr>
                    <w:keepNext w:val="0"/>
                    <w:keepLines w:val="0"/>
                    <w:widowControl/>
                    <w:suppressLineNumbers w:val="0"/>
                    <w:jc w:val="right"/>
                    <w:textAlignment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100410114</w:t>
                  </w:r>
                </w:p>
              </w:tc>
              <w:tc>
                <w:tcPr>
                  <w:tcW w:w="3548" w:type="dxa"/>
                  <w:vAlign w:val="center"/>
                </w:tcPr>
                <w:p w14:paraId="0660D2E4">
                  <w:pPr>
                    <w:widowControl/>
                    <w:ind w:right="-73" w:rightChars="-35"/>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生物医学信号检测与处理实验</w:t>
                  </w:r>
                </w:p>
              </w:tc>
              <w:tc>
                <w:tcPr>
                  <w:tcW w:w="850" w:type="dxa"/>
                  <w:vAlign w:val="center"/>
                </w:tcPr>
                <w:p w14:paraId="4B872109">
                  <w:pPr>
                    <w:widowControl/>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1</w:t>
                  </w:r>
                </w:p>
              </w:tc>
              <w:tc>
                <w:tcPr>
                  <w:tcW w:w="1244" w:type="dxa"/>
                  <w:vAlign w:val="center"/>
                </w:tcPr>
                <w:p w14:paraId="61A2648B">
                  <w:pPr>
                    <w:widowControl/>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是</w:t>
                  </w:r>
                </w:p>
              </w:tc>
              <w:tc>
                <w:tcPr>
                  <w:tcW w:w="1244" w:type="dxa"/>
                  <w:vAlign w:val="center"/>
                </w:tcPr>
                <w:p w14:paraId="1A0B368E">
                  <w:pPr>
                    <w:widowControl/>
                    <w:jc w:val="center"/>
                    <w:rPr>
                      <w:rFonts w:ascii="仿宋_GB2312" w:hAnsi="宋体" w:eastAsia="仿宋_GB2312" w:cs="宋体"/>
                      <w:color w:val="333333"/>
                      <w:kern w:val="0"/>
                      <w:sz w:val="24"/>
                      <w:szCs w:val="24"/>
                    </w:rPr>
                  </w:pPr>
                  <w:r>
                    <w:rPr>
                      <w:rFonts w:ascii="仿宋_GB2312" w:hAnsi="宋体" w:eastAsia="仿宋_GB2312" w:cs="宋体"/>
                      <w:color w:val="333333"/>
                      <w:kern w:val="0"/>
                      <w:sz w:val="24"/>
                      <w:szCs w:val="24"/>
                    </w:rPr>
                    <w:t>专业必修</w:t>
                  </w:r>
                </w:p>
              </w:tc>
            </w:tr>
            <w:tr w14:paraId="75860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vAlign w:val="center"/>
                </w:tcPr>
                <w:p w14:paraId="07AD9176">
                  <w:pPr>
                    <w:keepNext w:val="0"/>
                    <w:keepLines w:val="0"/>
                    <w:widowControl/>
                    <w:suppressLineNumbers w:val="0"/>
                    <w:jc w:val="right"/>
                    <w:textAlignment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100410214</w:t>
                  </w:r>
                </w:p>
              </w:tc>
              <w:tc>
                <w:tcPr>
                  <w:tcW w:w="3548" w:type="dxa"/>
                  <w:vAlign w:val="center"/>
                </w:tcPr>
                <w:p w14:paraId="28B1FD96">
                  <w:pPr>
                    <w:widowControl/>
                    <w:ind w:right="-73" w:rightChars="-35"/>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脑功能分析技术</w:t>
                  </w:r>
                </w:p>
              </w:tc>
              <w:tc>
                <w:tcPr>
                  <w:tcW w:w="850" w:type="dxa"/>
                  <w:vAlign w:val="center"/>
                </w:tcPr>
                <w:p w14:paraId="4F5A334A">
                  <w:pPr>
                    <w:widowControl/>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2</w:t>
                  </w:r>
                </w:p>
              </w:tc>
              <w:tc>
                <w:tcPr>
                  <w:tcW w:w="1244" w:type="dxa"/>
                  <w:vAlign w:val="center"/>
                </w:tcPr>
                <w:p w14:paraId="1EBDAC12">
                  <w:pPr>
                    <w:widowControl/>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否</w:t>
                  </w:r>
                </w:p>
              </w:tc>
              <w:tc>
                <w:tcPr>
                  <w:tcW w:w="1244" w:type="dxa"/>
                  <w:vAlign w:val="center"/>
                </w:tcPr>
                <w:p w14:paraId="526E88E1">
                  <w:pPr>
                    <w:widowControl/>
                    <w:jc w:val="center"/>
                    <w:rPr>
                      <w:rFonts w:ascii="仿宋_GB2312" w:hAnsi="宋体" w:eastAsia="仿宋_GB2312" w:cs="宋体"/>
                      <w:color w:val="333333"/>
                      <w:kern w:val="0"/>
                      <w:sz w:val="24"/>
                      <w:szCs w:val="24"/>
                    </w:rPr>
                  </w:pPr>
                  <w:r>
                    <w:rPr>
                      <w:rFonts w:ascii="仿宋_GB2312" w:hAnsi="宋体" w:eastAsia="仿宋_GB2312" w:cs="宋体"/>
                      <w:color w:val="333333"/>
                      <w:kern w:val="0"/>
                      <w:sz w:val="24"/>
                      <w:szCs w:val="24"/>
                    </w:rPr>
                    <w:t>专业选修</w:t>
                  </w:r>
                </w:p>
              </w:tc>
            </w:tr>
            <w:tr w14:paraId="39288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vAlign w:val="center"/>
                </w:tcPr>
                <w:p w14:paraId="31F7DB17">
                  <w:pPr>
                    <w:keepNext w:val="0"/>
                    <w:keepLines w:val="0"/>
                    <w:widowControl/>
                    <w:suppressLineNumbers w:val="0"/>
                    <w:jc w:val="right"/>
                    <w:textAlignment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102410201</w:t>
                  </w:r>
                </w:p>
              </w:tc>
              <w:tc>
                <w:tcPr>
                  <w:tcW w:w="3548" w:type="dxa"/>
                  <w:vAlign w:val="center"/>
                </w:tcPr>
                <w:p w14:paraId="0C9CD8CD">
                  <w:pPr>
                    <w:widowControl/>
                    <w:ind w:right="-73" w:rightChars="-35"/>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生物力学与仿真技术</w:t>
                  </w:r>
                </w:p>
              </w:tc>
              <w:tc>
                <w:tcPr>
                  <w:tcW w:w="850" w:type="dxa"/>
                  <w:vAlign w:val="center"/>
                </w:tcPr>
                <w:p w14:paraId="7835E2F9">
                  <w:pPr>
                    <w:widowControl/>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2</w:t>
                  </w:r>
                </w:p>
              </w:tc>
              <w:tc>
                <w:tcPr>
                  <w:tcW w:w="1244" w:type="dxa"/>
                  <w:vAlign w:val="center"/>
                </w:tcPr>
                <w:p w14:paraId="3B495BBE">
                  <w:pPr>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否</w:t>
                  </w:r>
                </w:p>
              </w:tc>
              <w:tc>
                <w:tcPr>
                  <w:tcW w:w="1244" w:type="dxa"/>
                  <w:vAlign w:val="center"/>
                </w:tcPr>
                <w:p w14:paraId="465154A1">
                  <w:pPr>
                    <w:jc w:val="center"/>
                    <w:rPr>
                      <w:sz w:val="24"/>
                      <w:szCs w:val="24"/>
                    </w:rPr>
                  </w:pPr>
                  <w:r>
                    <w:rPr>
                      <w:rFonts w:ascii="仿宋_GB2312" w:hAnsi="宋体" w:eastAsia="仿宋_GB2312" w:cs="宋体"/>
                      <w:color w:val="333333"/>
                      <w:kern w:val="0"/>
                      <w:sz w:val="24"/>
                      <w:szCs w:val="24"/>
                    </w:rPr>
                    <w:t>专业选修</w:t>
                  </w:r>
                </w:p>
              </w:tc>
            </w:tr>
            <w:tr w14:paraId="34CE5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vAlign w:val="center"/>
                </w:tcPr>
                <w:p w14:paraId="63BC5494">
                  <w:pPr>
                    <w:keepNext w:val="0"/>
                    <w:keepLines w:val="0"/>
                    <w:widowControl/>
                    <w:suppressLineNumbers w:val="0"/>
                    <w:jc w:val="right"/>
                    <w:textAlignment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100410219</w:t>
                  </w:r>
                </w:p>
              </w:tc>
              <w:tc>
                <w:tcPr>
                  <w:tcW w:w="3548" w:type="dxa"/>
                  <w:vAlign w:val="center"/>
                </w:tcPr>
                <w:p w14:paraId="4B05A72E">
                  <w:pPr>
                    <w:widowControl/>
                    <w:ind w:right="-73" w:rightChars="-35"/>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光电检测技术</w:t>
                  </w:r>
                </w:p>
              </w:tc>
              <w:tc>
                <w:tcPr>
                  <w:tcW w:w="850" w:type="dxa"/>
                  <w:vAlign w:val="center"/>
                </w:tcPr>
                <w:p w14:paraId="32EB5B64">
                  <w:pPr>
                    <w:widowControl/>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2</w:t>
                  </w:r>
                </w:p>
              </w:tc>
              <w:tc>
                <w:tcPr>
                  <w:tcW w:w="1244" w:type="dxa"/>
                  <w:vAlign w:val="center"/>
                </w:tcPr>
                <w:p w14:paraId="32F0C64E">
                  <w:pPr>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是</w:t>
                  </w:r>
                </w:p>
              </w:tc>
              <w:tc>
                <w:tcPr>
                  <w:tcW w:w="1244" w:type="dxa"/>
                  <w:vAlign w:val="center"/>
                </w:tcPr>
                <w:p w14:paraId="0A1DD057">
                  <w:pPr>
                    <w:jc w:val="center"/>
                    <w:rPr>
                      <w:sz w:val="24"/>
                      <w:szCs w:val="24"/>
                    </w:rPr>
                  </w:pPr>
                  <w:r>
                    <w:rPr>
                      <w:rFonts w:ascii="仿宋_GB2312" w:hAnsi="宋体" w:eastAsia="仿宋_GB2312" w:cs="宋体"/>
                      <w:color w:val="333333"/>
                      <w:kern w:val="0"/>
                      <w:sz w:val="24"/>
                      <w:szCs w:val="24"/>
                    </w:rPr>
                    <w:t>专业选修</w:t>
                  </w:r>
                </w:p>
              </w:tc>
            </w:tr>
            <w:tr w14:paraId="7A4C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vAlign w:val="center"/>
                </w:tcPr>
                <w:p w14:paraId="6B1C3D07">
                  <w:pPr>
                    <w:keepNext w:val="0"/>
                    <w:keepLines w:val="0"/>
                    <w:widowControl/>
                    <w:suppressLineNumbers w:val="0"/>
                    <w:jc w:val="right"/>
                    <w:textAlignment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100410221</w:t>
                  </w:r>
                </w:p>
              </w:tc>
              <w:tc>
                <w:tcPr>
                  <w:tcW w:w="3548" w:type="dxa"/>
                  <w:vAlign w:val="center"/>
                </w:tcPr>
                <w:p w14:paraId="355E3512">
                  <w:pPr>
                    <w:widowControl/>
                    <w:ind w:right="-73" w:rightChars="-35"/>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核磁共振成像技术</w:t>
                  </w:r>
                </w:p>
              </w:tc>
              <w:tc>
                <w:tcPr>
                  <w:tcW w:w="850" w:type="dxa"/>
                  <w:vAlign w:val="center"/>
                </w:tcPr>
                <w:p w14:paraId="7A26D35E">
                  <w:pPr>
                    <w:widowControl/>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3</w:t>
                  </w:r>
                </w:p>
              </w:tc>
              <w:tc>
                <w:tcPr>
                  <w:tcW w:w="1244" w:type="dxa"/>
                  <w:vAlign w:val="center"/>
                </w:tcPr>
                <w:p w14:paraId="12F2652D">
                  <w:pPr>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否</w:t>
                  </w:r>
                </w:p>
              </w:tc>
              <w:tc>
                <w:tcPr>
                  <w:tcW w:w="1244" w:type="dxa"/>
                  <w:vAlign w:val="center"/>
                </w:tcPr>
                <w:p w14:paraId="3E87C991">
                  <w:pPr>
                    <w:jc w:val="center"/>
                    <w:rPr>
                      <w:sz w:val="24"/>
                      <w:szCs w:val="24"/>
                    </w:rPr>
                  </w:pPr>
                  <w:r>
                    <w:rPr>
                      <w:rFonts w:ascii="仿宋_GB2312" w:hAnsi="宋体" w:eastAsia="仿宋_GB2312" w:cs="宋体"/>
                      <w:color w:val="333333"/>
                      <w:kern w:val="0"/>
                      <w:sz w:val="24"/>
                      <w:szCs w:val="24"/>
                    </w:rPr>
                    <w:t>专业选修</w:t>
                  </w:r>
                </w:p>
              </w:tc>
            </w:tr>
          </w:tbl>
          <w:p w14:paraId="6434D675">
            <w:pPr>
              <w:pStyle w:val="8"/>
              <w:widowControl/>
              <w:numPr>
                <w:ilvl w:val="0"/>
                <w:numId w:val="1"/>
              </w:numPr>
              <w:ind w:firstLineChars="0"/>
              <w:jc w:val="left"/>
              <w:rPr>
                <w:rFonts w:ascii="楷体_GB2312" w:hAnsi="宋体" w:eastAsia="楷体_GB2312" w:cs="宋体"/>
                <w:b/>
                <w:color w:val="333333"/>
                <w:kern w:val="0"/>
                <w:sz w:val="28"/>
                <w:szCs w:val="28"/>
              </w:rPr>
            </w:pPr>
            <w:r>
              <w:rPr>
                <w:rFonts w:hint="eastAsia" w:ascii="楷体_GB2312" w:hAnsi="宋体" w:eastAsia="楷体_GB2312" w:cs="宋体"/>
                <w:b/>
                <w:color w:val="333333"/>
                <w:kern w:val="0"/>
                <w:sz w:val="28"/>
                <w:szCs w:val="28"/>
              </w:rPr>
              <w:t>其他</w:t>
            </w:r>
          </w:p>
          <w:p w14:paraId="5A142357">
            <w:pPr>
              <w:spacing w:before="156" w:beforeLines="50"/>
              <w:ind w:firstLine="480" w:firstLineChars="200"/>
              <w:rPr>
                <w:rFonts w:ascii="仿宋_GB2312" w:hAnsi="宋体" w:eastAsia="仿宋_GB2312" w:cs="宋体"/>
                <w:color w:val="333333"/>
                <w:kern w:val="0"/>
                <w:sz w:val="27"/>
                <w:szCs w:val="27"/>
              </w:rPr>
            </w:pPr>
            <w:r>
              <w:rPr>
                <w:rFonts w:ascii="Times New Roman" w:hAnsi="Times New Roman" w:eastAsia="仿宋_GB2312" w:cs="Times New Roman"/>
                <w:color w:val="000000" w:themeColor="text1"/>
                <w:sz w:val="24"/>
                <w:szCs w:val="24"/>
                <w14:textFill>
                  <w14:solidFill>
                    <w14:schemeClr w14:val="tx1"/>
                  </w14:solidFill>
                </w14:textFill>
              </w:rPr>
              <w:t>辅修专业需完成上述专业必修课程</w:t>
            </w:r>
            <w:r>
              <w:rPr>
                <w:rFonts w:hint="eastAsia" w:ascii="Times New Roman" w:hAnsi="Times New Roman" w:eastAsia="仿宋_GB2312" w:cs="Times New Roman"/>
                <w:color w:val="000000" w:themeColor="text1"/>
                <w:sz w:val="24"/>
                <w:szCs w:val="24"/>
                <w14:textFill>
                  <w14:solidFill>
                    <w14:schemeClr w14:val="tx1"/>
                  </w14:solidFill>
                </w14:textFill>
              </w:rPr>
              <w:t>（2</w:t>
            </w:r>
            <w:r>
              <w:rPr>
                <w:rFonts w:ascii="Times New Roman" w:hAnsi="Times New Roman" w:eastAsia="仿宋_GB2312" w:cs="Times New Roman"/>
                <w:color w:val="000000" w:themeColor="text1"/>
                <w:sz w:val="24"/>
                <w:szCs w:val="24"/>
                <w14:textFill>
                  <w14:solidFill>
                    <w14:schemeClr w14:val="tx1"/>
                  </w14:solidFill>
                </w14:textFill>
              </w:rPr>
              <w:t>3学分</w:t>
            </w:r>
            <w:r>
              <w:rPr>
                <w:rFonts w:hint="eastAsia" w:ascii="Times New Roman" w:hAnsi="Times New Roman" w:eastAsia="仿宋_GB2312" w:cs="Times New Roman"/>
                <w:color w:val="000000" w:themeColor="text1"/>
                <w:sz w:val="24"/>
                <w:szCs w:val="24"/>
                <w14:textFill>
                  <w14:solidFill>
                    <w14:schemeClr w14:val="tx1"/>
                  </w14:solidFill>
                </w14:textFill>
              </w:rPr>
              <w:t>）并任选两门</w:t>
            </w:r>
            <w:bookmarkStart w:id="0" w:name="_GoBack"/>
            <w:bookmarkEnd w:id="0"/>
            <w:r>
              <w:rPr>
                <w:rFonts w:hint="eastAsia" w:ascii="Times New Roman" w:hAnsi="Times New Roman" w:eastAsia="仿宋_GB2312" w:cs="Times New Roman"/>
                <w:color w:val="000000" w:themeColor="text1"/>
                <w:sz w:val="24"/>
                <w:szCs w:val="24"/>
                <w14:textFill>
                  <w14:solidFill>
                    <w14:schemeClr w14:val="tx1"/>
                  </w14:solidFill>
                </w14:textFill>
              </w:rPr>
              <w:t>专业选修课程（≥4学分）完成学习。</w:t>
            </w:r>
          </w:p>
        </w:tc>
      </w:tr>
    </w:tbl>
    <w:p w14:paraId="33104EB9">
      <w:pPr>
        <w:widowControl/>
        <w:spacing w:before="100" w:beforeAutospacing="1" w:after="100" w:afterAutospacing="1"/>
        <w:jc w:val="left"/>
        <w:rPr>
          <w:rFonts w:ascii="仿宋_GB2312" w:hAnsi="宋体" w:eastAsia="仿宋_GB2312" w:cs="宋体"/>
          <w:color w:val="333333"/>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6275327"/>
      <w:docPartObj>
        <w:docPartGallery w:val="AutoText"/>
      </w:docPartObj>
    </w:sdtPr>
    <w:sdtContent>
      <w:sdt>
        <w:sdtPr>
          <w:id w:val="-1705238520"/>
          <w:docPartObj>
            <w:docPartGallery w:val="AutoText"/>
          </w:docPartObj>
        </w:sdtPr>
        <w:sdtContent>
          <w:p w14:paraId="07536094">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14:paraId="24ACC836">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2E5C68"/>
    <w:multiLevelType w:val="multilevel"/>
    <w:tmpl w:val="6C2E5C68"/>
    <w:lvl w:ilvl="0" w:tentative="0">
      <w:start w:val="1"/>
      <w:numFmt w:val="japaneseCounting"/>
      <w:lvlText w:val="%1、"/>
      <w:lvlJc w:val="left"/>
      <w:pPr>
        <w:ind w:left="990" w:hanging="720"/>
      </w:pPr>
      <w:rPr>
        <w:rFonts w:hint="default"/>
      </w:rPr>
    </w:lvl>
    <w:lvl w:ilvl="1" w:tentative="0">
      <w:start w:val="1"/>
      <w:numFmt w:val="lowerLetter"/>
      <w:lvlText w:val="%2)"/>
      <w:lvlJc w:val="left"/>
      <w:pPr>
        <w:ind w:left="1110" w:hanging="420"/>
      </w:pPr>
    </w:lvl>
    <w:lvl w:ilvl="2" w:tentative="0">
      <w:start w:val="1"/>
      <w:numFmt w:val="lowerRoman"/>
      <w:lvlText w:val="%3."/>
      <w:lvlJc w:val="right"/>
      <w:pPr>
        <w:ind w:left="1530" w:hanging="420"/>
      </w:pPr>
    </w:lvl>
    <w:lvl w:ilvl="3" w:tentative="0">
      <w:start w:val="1"/>
      <w:numFmt w:val="decimal"/>
      <w:lvlText w:val="%4."/>
      <w:lvlJc w:val="left"/>
      <w:pPr>
        <w:ind w:left="1950" w:hanging="420"/>
      </w:pPr>
    </w:lvl>
    <w:lvl w:ilvl="4" w:tentative="0">
      <w:start w:val="1"/>
      <w:numFmt w:val="lowerLetter"/>
      <w:lvlText w:val="%5)"/>
      <w:lvlJc w:val="left"/>
      <w:pPr>
        <w:ind w:left="2370" w:hanging="420"/>
      </w:pPr>
    </w:lvl>
    <w:lvl w:ilvl="5" w:tentative="0">
      <w:start w:val="1"/>
      <w:numFmt w:val="lowerRoman"/>
      <w:lvlText w:val="%6."/>
      <w:lvlJc w:val="right"/>
      <w:pPr>
        <w:ind w:left="2790" w:hanging="420"/>
      </w:pPr>
    </w:lvl>
    <w:lvl w:ilvl="6" w:tentative="0">
      <w:start w:val="1"/>
      <w:numFmt w:val="decimal"/>
      <w:lvlText w:val="%7."/>
      <w:lvlJc w:val="left"/>
      <w:pPr>
        <w:ind w:left="3210" w:hanging="420"/>
      </w:pPr>
    </w:lvl>
    <w:lvl w:ilvl="7" w:tentative="0">
      <w:start w:val="1"/>
      <w:numFmt w:val="lowerLetter"/>
      <w:lvlText w:val="%8)"/>
      <w:lvlJc w:val="left"/>
      <w:pPr>
        <w:ind w:left="3630" w:hanging="420"/>
      </w:pPr>
    </w:lvl>
    <w:lvl w:ilvl="8" w:tentative="0">
      <w:start w:val="1"/>
      <w:numFmt w:val="lowerRoman"/>
      <w:lvlText w:val="%9."/>
      <w:lvlJc w:val="right"/>
      <w:pPr>
        <w:ind w:left="40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412"/>
    <w:rsid w:val="0002167E"/>
    <w:rsid w:val="000337F2"/>
    <w:rsid w:val="000523C8"/>
    <w:rsid w:val="000D1DB9"/>
    <w:rsid w:val="001811A7"/>
    <w:rsid w:val="00182F61"/>
    <w:rsid w:val="001E387C"/>
    <w:rsid w:val="00247C2A"/>
    <w:rsid w:val="00252335"/>
    <w:rsid w:val="00260547"/>
    <w:rsid w:val="002E3672"/>
    <w:rsid w:val="002F03A6"/>
    <w:rsid w:val="002F5BFA"/>
    <w:rsid w:val="003B2412"/>
    <w:rsid w:val="003F0F48"/>
    <w:rsid w:val="00412857"/>
    <w:rsid w:val="00423D0B"/>
    <w:rsid w:val="004E4B59"/>
    <w:rsid w:val="004F4590"/>
    <w:rsid w:val="0050609F"/>
    <w:rsid w:val="00530846"/>
    <w:rsid w:val="00540EE9"/>
    <w:rsid w:val="00556E2B"/>
    <w:rsid w:val="00623BDB"/>
    <w:rsid w:val="006434B0"/>
    <w:rsid w:val="0065289C"/>
    <w:rsid w:val="006C5206"/>
    <w:rsid w:val="00734F83"/>
    <w:rsid w:val="00750F1B"/>
    <w:rsid w:val="007B72D8"/>
    <w:rsid w:val="008577FF"/>
    <w:rsid w:val="008C4CE9"/>
    <w:rsid w:val="00902533"/>
    <w:rsid w:val="009540E1"/>
    <w:rsid w:val="00961A35"/>
    <w:rsid w:val="0097093C"/>
    <w:rsid w:val="009762B5"/>
    <w:rsid w:val="009A2922"/>
    <w:rsid w:val="00A14ABE"/>
    <w:rsid w:val="00A627FC"/>
    <w:rsid w:val="00A753AD"/>
    <w:rsid w:val="00AC3EE4"/>
    <w:rsid w:val="00AD13BE"/>
    <w:rsid w:val="00AD66B3"/>
    <w:rsid w:val="00B13264"/>
    <w:rsid w:val="00BD088E"/>
    <w:rsid w:val="00C84F26"/>
    <w:rsid w:val="00C90BF0"/>
    <w:rsid w:val="00CE2011"/>
    <w:rsid w:val="00D84122"/>
    <w:rsid w:val="00DB33A9"/>
    <w:rsid w:val="00DB780E"/>
    <w:rsid w:val="00DF12CC"/>
    <w:rsid w:val="00E045F5"/>
    <w:rsid w:val="00E21E27"/>
    <w:rsid w:val="00E236BA"/>
    <w:rsid w:val="00E60E26"/>
    <w:rsid w:val="00E62389"/>
    <w:rsid w:val="00E91FA5"/>
    <w:rsid w:val="00ED4CAE"/>
    <w:rsid w:val="00F50389"/>
    <w:rsid w:val="00FE120B"/>
    <w:rsid w:val="00FF6270"/>
    <w:rsid w:val="5C395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character" w:customStyle="1" w:styleId="11">
    <w:name w:val="批注框文本 字符"/>
    <w:basedOn w:val="7"/>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1311</Words>
  <Characters>1466</Characters>
  <Lines>11</Lines>
  <Paragraphs>3</Paragraphs>
  <TotalTime>3</TotalTime>
  <ScaleCrop>false</ScaleCrop>
  <LinksUpToDate>false</LinksUpToDate>
  <CharactersWithSpaces>1471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2022-12-27T10:23:00Z</dcterms:created>
  <dc:creator>l</dc:creator>
  <cp:lastModifiedBy>宛若初</cp:lastModifiedBy>
  <cp:lastPrinted>2019-05-06T03:25:00Z</cp:lastPrinted>
  <dcterms:modified xsi:type="dcterms:W3CDTF">2025-01-13T03:40:56Z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eyJoZGlkIjoiODMyODgxMzg5NjgzZjQyMjM3MDQzZmZjODJhODNkMDMiLCJ1c2VySWQiOiIzNjMyNzQyNjIifQ==</vt:lpwstr>
  </property>
  <property fmtid="{D5CDD505-2E9C-101B-9397-08002B2CF9AE}" pid="3" name="KSOProductBuildVer">
    <vt:lpwstr>2052-12.1.0.19302</vt:lpwstr>
  </property>
  <property fmtid="{D5CDD505-2E9C-101B-9397-08002B2CF9AE}" pid="4" name="ICV">
    <vt:lpwstr>2257320FD16E409493AD74E632D9B44A_12</vt:lpwstr>
  </property>
</Properties>
</file>