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BD6A2">
      <w:pPr>
        <w:jc w:val="center"/>
        <w:rPr>
          <w:rFonts w:ascii="仿宋_GB2312" w:eastAsia="仿宋_GB2312"/>
          <w:sz w:val="32"/>
          <w:szCs w:val="32"/>
        </w:rPr>
      </w:pPr>
      <w:r>
        <w:rPr>
          <w:rFonts w:hint="eastAsia" w:ascii="黑体" w:hAnsi="黑体" w:eastAsia="黑体"/>
          <w:sz w:val="44"/>
          <w:szCs w:val="44"/>
        </w:rPr>
        <w:t>生命学院辅修专业说明</w:t>
      </w:r>
      <w:r>
        <w:rPr>
          <w:rFonts w:ascii="黑体" w:hAnsi="黑体" w:eastAsia="黑体"/>
          <w:sz w:val="44"/>
          <w:szCs w:val="44"/>
        </w:rPr>
        <w:t>—</w:t>
      </w:r>
      <w:r>
        <w:rPr>
          <w:rFonts w:hint="eastAsia" w:ascii="黑体" w:hAnsi="黑体" w:eastAsia="黑体"/>
          <w:sz w:val="44"/>
          <w:szCs w:val="44"/>
        </w:rPr>
        <w:t>生物技术</w:t>
      </w:r>
    </w:p>
    <w:tbl>
      <w:tblPr>
        <w:tblStyle w:val="5"/>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70"/>
        <w:gridCol w:w="538"/>
        <w:gridCol w:w="1693"/>
        <w:gridCol w:w="1379"/>
        <w:gridCol w:w="3042"/>
      </w:tblGrid>
      <w:tr w14:paraId="20CF28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712" w:type="dxa"/>
            <w:tcBorders>
              <w:top w:val="outset" w:color="auto" w:sz="6" w:space="0"/>
              <w:left w:val="outset" w:color="auto" w:sz="6" w:space="0"/>
              <w:bottom w:val="outset" w:color="auto" w:sz="6" w:space="0"/>
              <w:right w:val="outset" w:color="auto" w:sz="6" w:space="0"/>
            </w:tcBorders>
            <w:vAlign w:val="center"/>
          </w:tcPr>
          <w:p w14:paraId="27B6061B">
            <w:pPr>
              <w:widowControl/>
              <w:jc w:val="center"/>
              <w:rPr>
                <w:rFonts w:ascii="Times New Roman" w:hAnsi="Times New Roman" w:eastAsia="仿宋_GB2312" w:cs="Times New Roman"/>
                <w:b/>
                <w:color w:val="333333"/>
                <w:kern w:val="0"/>
                <w:sz w:val="24"/>
                <w:szCs w:val="24"/>
              </w:rPr>
            </w:pPr>
            <w:r>
              <w:rPr>
                <w:rFonts w:ascii="Times New Roman" w:hAnsi="Times New Roman" w:eastAsia="仿宋_GB2312" w:cs="Times New Roman"/>
                <w:b/>
                <w:color w:val="333333"/>
                <w:kern w:val="0"/>
                <w:sz w:val="24"/>
                <w:szCs w:val="24"/>
              </w:rPr>
              <w:t>申报学院</w:t>
            </w:r>
          </w:p>
        </w:tc>
        <w:tc>
          <w:tcPr>
            <w:tcW w:w="2373" w:type="dxa"/>
            <w:gridSpan w:val="2"/>
            <w:tcBorders>
              <w:top w:val="outset" w:color="auto" w:sz="6" w:space="0"/>
              <w:left w:val="outset" w:color="auto" w:sz="6" w:space="0"/>
              <w:bottom w:val="outset" w:color="auto" w:sz="6" w:space="0"/>
              <w:right w:val="outset" w:color="auto" w:sz="6" w:space="0"/>
            </w:tcBorders>
            <w:vAlign w:val="center"/>
          </w:tcPr>
          <w:p w14:paraId="0D14FA07">
            <w:pPr>
              <w:widowControl/>
              <w:jc w:val="center"/>
              <w:rPr>
                <w:rFonts w:ascii="Times New Roman" w:hAnsi="Times New Roman" w:eastAsia="仿宋_GB2312" w:cs="Times New Roman"/>
                <w:color w:val="333333"/>
                <w:kern w:val="0"/>
                <w:sz w:val="24"/>
                <w:szCs w:val="24"/>
              </w:rPr>
            </w:pPr>
            <w:r>
              <w:rPr>
                <w:rFonts w:ascii="Times New Roman" w:hAnsi="Times New Roman" w:eastAsia="仿宋_GB2312" w:cs="Times New Roman"/>
                <w:color w:val="333333"/>
                <w:kern w:val="0"/>
                <w:sz w:val="24"/>
                <w:szCs w:val="24"/>
              </w:rPr>
              <w:t>生命学院</w:t>
            </w:r>
          </w:p>
        </w:tc>
        <w:tc>
          <w:tcPr>
            <w:tcW w:w="1354" w:type="dxa"/>
            <w:tcBorders>
              <w:top w:val="outset" w:color="auto" w:sz="6" w:space="0"/>
              <w:left w:val="outset" w:color="auto" w:sz="6" w:space="0"/>
              <w:bottom w:val="outset" w:color="auto" w:sz="6" w:space="0"/>
              <w:right w:val="outset" w:color="auto" w:sz="6" w:space="0"/>
            </w:tcBorders>
            <w:vAlign w:val="center"/>
          </w:tcPr>
          <w:p w14:paraId="78C88534">
            <w:pPr>
              <w:widowControl/>
              <w:ind w:firstLine="14"/>
              <w:jc w:val="center"/>
              <w:rPr>
                <w:rFonts w:ascii="Times New Roman" w:hAnsi="Times New Roman" w:eastAsia="仿宋_GB2312" w:cs="Times New Roman"/>
                <w:b/>
                <w:color w:val="333333"/>
                <w:kern w:val="0"/>
                <w:sz w:val="24"/>
                <w:szCs w:val="24"/>
              </w:rPr>
            </w:pPr>
            <w:r>
              <w:rPr>
                <w:rFonts w:ascii="Times New Roman" w:hAnsi="Times New Roman" w:eastAsia="仿宋_GB2312" w:cs="Times New Roman"/>
                <w:b/>
                <w:color w:val="333333"/>
                <w:kern w:val="0"/>
                <w:sz w:val="24"/>
                <w:szCs w:val="24"/>
              </w:rPr>
              <w:t>申报专业</w:t>
            </w:r>
          </w:p>
        </w:tc>
        <w:tc>
          <w:tcPr>
            <w:tcW w:w="2851" w:type="dxa"/>
            <w:tcBorders>
              <w:top w:val="outset" w:color="auto" w:sz="6" w:space="0"/>
              <w:left w:val="outset" w:color="auto" w:sz="6" w:space="0"/>
              <w:bottom w:val="outset" w:color="auto" w:sz="6" w:space="0"/>
              <w:right w:val="outset" w:color="auto" w:sz="6" w:space="0"/>
            </w:tcBorders>
            <w:vAlign w:val="center"/>
          </w:tcPr>
          <w:p w14:paraId="3FAB119A">
            <w:pPr>
              <w:widowControl/>
              <w:ind w:firstLine="480"/>
              <w:jc w:val="center"/>
              <w:rPr>
                <w:rFonts w:ascii="Times New Roman" w:hAnsi="Times New Roman" w:eastAsia="仿宋_GB2312" w:cs="Times New Roman"/>
                <w:color w:val="333333"/>
                <w:kern w:val="0"/>
                <w:sz w:val="24"/>
                <w:szCs w:val="24"/>
              </w:rPr>
            </w:pPr>
            <w:r>
              <w:rPr>
                <w:rFonts w:ascii="Times New Roman" w:hAnsi="Times New Roman" w:eastAsia="仿宋_GB2312" w:cs="Times New Roman"/>
                <w:color w:val="333333"/>
                <w:kern w:val="0"/>
                <w:sz w:val="24"/>
                <w:szCs w:val="24"/>
              </w:rPr>
              <w:t>生物技术</w:t>
            </w:r>
          </w:p>
        </w:tc>
      </w:tr>
      <w:tr w14:paraId="25AA6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2260" w:type="dxa"/>
            <w:gridSpan w:val="2"/>
            <w:tcBorders>
              <w:top w:val="outset" w:color="auto" w:sz="6" w:space="0"/>
              <w:left w:val="outset" w:color="auto" w:sz="6" w:space="0"/>
              <w:bottom w:val="outset" w:color="auto" w:sz="6" w:space="0"/>
              <w:right w:val="outset" w:color="auto" w:sz="6" w:space="0"/>
            </w:tcBorders>
            <w:vAlign w:val="center"/>
          </w:tcPr>
          <w:p w14:paraId="46544AE5">
            <w:pPr>
              <w:widowControl/>
              <w:jc w:val="center"/>
              <w:rPr>
                <w:rFonts w:ascii="Times New Roman" w:hAnsi="Times New Roman" w:eastAsia="仿宋_GB2312" w:cs="Times New Roman"/>
                <w:b/>
                <w:color w:val="333333"/>
                <w:kern w:val="0"/>
                <w:sz w:val="24"/>
                <w:szCs w:val="24"/>
              </w:rPr>
            </w:pPr>
            <w:r>
              <w:rPr>
                <w:rFonts w:ascii="Times New Roman" w:hAnsi="Times New Roman" w:eastAsia="仿宋_GB2312" w:cs="Times New Roman"/>
                <w:b/>
                <w:color w:val="333333"/>
                <w:kern w:val="0"/>
                <w:sz w:val="24"/>
                <w:szCs w:val="24"/>
              </w:rPr>
              <w:t>与本专业相近专业</w:t>
            </w:r>
          </w:p>
        </w:tc>
        <w:tc>
          <w:tcPr>
            <w:tcW w:w="6030" w:type="dxa"/>
            <w:gridSpan w:val="3"/>
            <w:tcBorders>
              <w:top w:val="outset" w:color="auto" w:sz="6" w:space="0"/>
              <w:left w:val="outset" w:color="auto" w:sz="6" w:space="0"/>
              <w:bottom w:val="outset" w:color="auto" w:sz="6" w:space="0"/>
              <w:right w:val="outset" w:color="auto" w:sz="6" w:space="0"/>
            </w:tcBorders>
            <w:vAlign w:val="center"/>
          </w:tcPr>
          <w:p w14:paraId="2ACA1593">
            <w:pPr>
              <w:widowControl/>
              <w:rPr>
                <w:rFonts w:ascii="Times New Roman" w:hAnsi="Times New Roman" w:eastAsia="仿宋_GB2312" w:cs="Times New Roman"/>
                <w:color w:val="333333"/>
                <w:kern w:val="0"/>
                <w:sz w:val="24"/>
                <w:szCs w:val="24"/>
              </w:rPr>
            </w:pPr>
            <w:r>
              <w:rPr>
                <w:rFonts w:ascii="Times New Roman" w:hAnsi="Times New Roman" w:eastAsia="仿宋_GB2312" w:cs="Times New Roman"/>
                <w:color w:val="333333"/>
                <w:kern w:val="0"/>
                <w:sz w:val="24"/>
                <w:szCs w:val="24"/>
              </w:rPr>
              <w:t>生物医学工程、生物制药，化学工程与技术，材料科学、数学、物理学等</w:t>
            </w:r>
          </w:p>
        </w:tc>
      </w:tr>
      <w:tr w14:paraId="10647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90" w:hRule="atLeast"/>
          <w:jc w:val="center"/>
        </w:trPr>
        <w:tc>
          <w:tcPr>
            <w:tcW w:w="8290" w:type="dxa"/>
            <w:gridSpan w:val="5"/>
            <w:tcBorders>
              <w:top w:val="outset" w:color="auto" w:sz="6" w:space="0"/>
              <w:left w:val="outset" w:color="auto" w:sz="6" w:space="0"/>
              <w:bottom w:val="single" w:color="auto" w:sz="4" w:space="0"/>
              <w:right w:val="outset" w:color="auto" w:sz="6" w:space="0"/>
            </w:tcBorders>
          </w:tcPr>
          <w:p w14:paraId="166AD7B2">
            <w:pPr>
              <w:pStyle w:val="8"/>
              <w:widowControl/>
              <w:numPr>
                <w:ilvl w:val="0"/>
                <w:numId w:val="1"/>
              </w:numPr>
              <w:ind w:firstLineChars="0"/>
              <w:jc w:val="left"/>
              <w:rPr>
                <w:rFonts w:ascii="Times New Roman" w:hAnsi="Times New Roman" w:eastAsia="仿宋_GB2312" w:cs="Times New Roman"/>
                <w:b/>
                <w:color w:val="333333"/>
                <w:kern w:val="0"/>
                <w:sz w:val="28"/>
                <w:szCs w:val="28"/>
              </w:rPr>
            </w:pPr>
            <w:r>
              <w:rPr>
                <w:rFonts w:ascii="Times New Roman" w:hAnsi="Times New Roman" w:eastAsia="仿宋_GB2312" w:cs="Times New Roman"/>
                <w:b/>
                <w:color w:val="333333"/>
                <w:kern w:val="0"/>
                <w:sz w:val="28"/>
                <w:szCs w:val="28"/>
              </w:rPr>
              <w:t>专业简介</w:t>
            </w:r>
          </w:p>
          <w:p w14:paraId="1BE173E0">
            <w:pPr>
              <w:spacing w:before="156" w:beforeLines="50"/>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生物技术致力于开展与人类健康相关的生命科学基础理论、生物学前沿技术以及生物医学检测新技术新方法等的教学和研究</w:t>
            </w:r>
            <w:r>
              <w:rPr>
                <w:rFonts w:hint="eastAsia" w:ascii="Times New Roman" w:hAnsi="Times New Roman" w:eastAsia="仿宋_GB2312" w:cs="Times New Roman"/>
                <w:color w:val="000000" w:themeColor="text1"/>
                <w:sz w:val="24"/>
                <w:szCs w:val="24"/>
                <w14:textFill>
                  <w14:solidFill>
                    <w14:schemeClr w14:val="tx1"/>
                  </w14:solidFill>
                </w14:textFill>
              </w:rPr>
              <w:t>，是全球发展最快的高新技术之一。</w:t>
            </w:r>
            <w:r>
              <w:rPr>
                <w:rFonts w:ascii="Times New Roman" w:hAnsi="Times New Roman" w:eastAsia="仿宋_GB2312" w:cs="Times New Roman"/>
                <w:color w:val="000000" w:themeColor="text1"/>
                <w:sz w:val="24"/>
                <w:szCs w:val="24"/>
                <w14:textFill>
                  <w14:solidFill>
                    <w14:schemeClr w14:val="tx1"/>
                  </w14:solidFill>
                </w14:textFill>
              </w:rPr>
              <w:t>各种新兴的生物技术已被广泛地应用于医疗</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农业</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生物加工</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资源开发利用</w:t>
            </w:r>
            <w:r>
              <w:rPr>
                <w:rFonts w:hint="eastAsia" w:ascii="Times New Roman" w:hAnsi="Times New Roman" w:eastAsia="仿宋_GB2312" w:cs="Times New Roman"/>
                <w:color w:val="000000" w:themeColor="text1"/>
                <w:sz w:val="24"/>
                <w:szCs w:val="24"/>
                <w14:textFill>
                  <w14:solidFill>
                    <w14:schemeClr w14:val="tx1"/>
                  </w14:solidFill>
                </w14:textFill>
              </w:rPr>
              <w:t>和</w:t>
            </w:r>
            <w:r>
              <w:rPr>
                <w:rFonts w:ascii="Times New Roman" w:hAnsi="Times New Roman" w:eastAsia="仿宋_GB2312" w:cs="Times New Roman"/>
                <w:color w:val="000000" w:themeColor="text1"/>
                <w:sz w:val="24"/>
                <w:szCs w:val="24"/>
                <w14:textFill>
                  <w14:solidFill>
                    <w14:schemeClr w14:val="tx1"/>
                  </w14:solidFill>
                </w14:textFill>
              </w:rPr>
              <w:t>环境保护，并对制药等产业的发展产生</w:t>
            </w:r>
            <w:r>
              <w:rPr>
                <w:rFonts w:hint="eastAsia" w:ascii="Times New Roman" w:hAnsi="Times New Roman" w:eastAsia="仿宋_GB2312" w:cs="Times New Roman"/>
                <w:color w:val="000000" w:themeColor="text1"/>
                <w:sz w:val="24"/>
                <w:szCs w:val="24"/>
                <w14:textFill>
                  <w14:solidFill>
                    <w14:schemeClr w14:val="tx1"/>
                  </w14:solidFill>
                </w14:textFill>
              </w:rPr>
              <w:t>了深刻的影响。由于生物技术将为解决人类面临的重大问题如粮食、健康、环境、能源等开辟广阔的前景，被认为是</w:t>
            </w:r>
            <w:r>
              <w:rPr>
                <w:rFonts w:ascii="Times New Roman" w:hAnsi="Times New Roman" w:eastAsia="仿宋_GB2312" w:cs="Times New Roman"/>
                <w:color w:val="000000" w:themeColor="text1"/>
                <w:sz w:val="24"/>
                <w:szCs w:val="24"/>
                <w14:textFill>
                  <w14:solidFill>
                    <w14:schemeClr w14:val="tx1"/>
                  </w14:solidFill>
                </w14:textFill>
              </w:rPr>
              <w:t>21世纪科学技术的核心。</w:t>
            </w:r>
          </w:p>
          <w:p w14:paraId="3327124C">
            <w:pPr>
              <w:spacing w:before="156" w:beforeLines="50"/>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生物技术专业</w:t>
            </w:r>
            <w:r>
              <w:rPr>
                <w:rFonts w:ascii="Times New Roman" w:hAnsi="Times New Roman" w:eastAsia="仿宋_GB2312" w:cs="Times New Roman"/>
                <w:color w:val="000000" w:themeColor="text1"/>
                <w:sz w:val="24"/>
                <w:szCs w:val="24"/>
                <w14:textFill>
                  <w14:solidFill>
                    <w14:schemeClr w14:val="tx1"/>
                  </w14:solidFill>
                </w14:textFill>
              </w:rPr>
              <w:t>师资年龄分布合理、国际化水平高、重视学科交叉。</w:t>
            </w:r>
            <w:r>
              <w:rPr>
                <w:rFonts w:hint="eastAsia" w:ascii="Times New Roman" w:hAnsi="Times New Roman" w:eastAsia="仿宋_GB2312" w:cs="Times New Roman"/>
                <w:color w:val="000000" w:themeColor="text1"/>
                <w:sz w:val="24"/>
                <w:szCs w:val="24"/>
                <w14:textFill>
                  <w14:solidFill>
                    <w14:schemeClr w14:val="tx1"/>
                  </w14:solidFill>
                </w14:textFill>
              </w:rPr>
              <w:t>现有专任教师</w:t>
            </w:r>
            <w:r>
              <w:rPr>
                <w:rFonts w:ascii="Times New Roman" w:hAnsi="Times New Roman" w:eastAsia="仿宋_GB2312" w:cs="Times New Roman"/>
                <w:color w:val="000000" w:themeColor="text1"/>
                <w:sz w:val="24"/>
                <w:szCs w:val="24"/>
                <w14:textFill>
                  <w14:solidFill>
                    <w14:schemeClr w14:val="tx1"/>
                  </w14:solidFill>
                </w14:textFill>
              </w:rPr>
              <w:t>5</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6</w:t>
            </w:r>
            <w:r>
              <w:rPr>
                <w:rFonts w:ascii="Times New Roman" w:hAnsi="Times New Roman" w:eastAsia="仿宋_GB2312" w:cs="Times New Roman"/>
                <w:color w:val="000000" w:themeColor="text1"/>
                <w:sz w:val="24"/>
                <w:szCs w:val="24"/>
                <w14:textFill>
                  <w14:solidFill>
                    <w14:schemeClr w14:val="tx1"/>
                  </w14:solidFill>
                </w14:textFill>
              </w:rPr>
              <w:t>人，</w:t>
            </w:r>
            <w:r>
              <w:rPr>
                <w:rFonts w:hint="eastAsia" w:ascii="Times New Roman" w:hAnsi="Times New Roman" w:eastAsia="仿宋_GB2312" w:cs="Times New Roman"/>
                <w:color w:val="000000" w:themeColor="text1"/>
                <w:sz w:val="24"/>
                <w:szCs w:val="24"/>
                <w14:textFill>
                  <w14:solidFill>
                    <w14:schemeClr w14:val="tx1"/>
                  </w14:solidFill>
                </w14:textFill>
              </w:rPr>
              <w:t>研究生导师5</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1</w:t>
            </w:r>
            <w:bookmarkStart w:id="0" w:name="_GoBack"/>
            <w:bookmarkEnd w:id="0"/>
            <w:r>
              <w:rPr>
                <w:rFonts w:hint="eastAsia" w:ascii="Times New Roman" w:hAnsi="Times New Roman" w:eastAsia="仿宋_GB2312" w:cs="Times New Roman"/>
                <w:color w:val="000000" w:themeColor="text1"/>
                <w:sz w:val="24"/>
                <w:szCs w:val="24"/>
                <w14:textFill>
                  <w14:solidFill>
                    <w14:schemeClr w14:val="tx1"/>
                  </w14:solidFill>
                </w14:textFill>
              </w:rPr>
              <w:t>人，</w:t>
            </w:r>
            <w:r>
              <w:rPr>
                <w:rFonts w:ascii="Times New Roman" w:hAnsi="Times New Roman" w:eastAsia="仿宋_GB2312" w:cs="Times New Roman"/>
                <w:color w:val="000000" w:themeColor="text1"/>
                <w:sz w:val="24"/>
                <w:szCs w:val="24"/>
                <w14:textFill>
                  <w14:solidFill>
                    <w14:schemeClr w14:val="tx1"/>
                  </w14:solidFill>
                </w14:textFill>
              </w:rPr>
              <w:t>其中教授1</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5</w:t>
            </w:r>
            <w:r>
              <w:rPr>
                <w:rFonts w:ascii="Times New Roman" w:hAnsi="Times New Roman" w:eastAsia="仿宋_GB2312" w:cs="Times New Roman"/>
                <w:color w:val="000000" w:themeColor="text1"/>
                <w:sz w:val="24"/>
                <w:szCs w:val="24"/>
                <w14:textFill>
                  <w14:solidFill>
                    <w14:schemeClr w14:val="tx1"/>
                  </w14:solidFill>
                </w14:textFill>
              </w:rPr>
              <w:t>人，副教授20人</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国家级领军人才2人，国家级青年人才4人。</w:t>
            </w:r>
          </w:p>
          <w:p w14:paraId="7CF5B0BE">
            <w:pPr>
              <w:spacing w:before="156" w:beforeLines="50"/>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本专业</w:t>
            </w:r>
            <w:r>
              <w:rPr>
                <w:rFonts w:ascii="Times New Roman" w:hAnsi="Times New Roman" w:eastAsia="仿宋_GB2312" w:cs="Times New Roman"/>
                <w:color w:val="000000" w:themeColor="text1"/>
                <w:sz w:val="24"/>
                <w:szCs w:val="24"/>
                <w14:textFill>
                  <w14:solidFill>
                    <w14:schemeClr w14:val="tx1"/>
                  </w14:solidFill>
                </w14:textFill>
              </w:rPr>
              <w:t>现有科研实验室近3000平米，</w:t>
            </w:r>
            <w:r>
              <w:rPr>
                <w:rFonts w:hint="eastAsia" w:ascii="Times New Roman" w:hAnsi="Times New Roman" w:eastAsia="仿宋_GB2312" w:cs="Times New Roman"/>
                <w:color w:val="000000" w:themeColor="text1"/>
                <w:sz w:val="24"/>
                <w:szCs w:val="24"/>
                <w14:textFill>
                  <w14:solidFill>
                    <w14:schemeClr w14:val="tx1"/>
                  </w14:solidFill>
                </w14:textFill>
              </w:rPr>
              <w:t>依托</w:t>
            </w: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个北京市重点实验室：北京市“生物医药成分分离分析重点实验室”和北京市“生物实验教学示范中心”，</w:t>
            </w: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个工信部重点实验室：分子医学与生物诊疗重点实验室。</w:t>
            </w:r>
          </w:p>
          <w:p w14:paraId="788A5FA2">
            <w:pPr>
              <w:pStyle w:val="8"/>
              <w:widowControl/>
              <w:numPr>
                <w:ilvl w:val="0"/>
                <w:numId w:val="1"/>
              </w:numPr>
              <w:ind w:firstLineChars="0"/>
              <w:jc w:val="left"/>
              <w:rPr>
                <w:rFonts w:ascii="Times New Roman" w:hAnsi="Times New Roman" w:eastAsia="仿宋_GB2312" w:cs="Times New Roman"/>
                <w:b/>
                <w:color w:val="333333"/>
                <w:kern w:val="0"/>
                <w:sz w:val="28"/>
                <w:szCs w:val="28"/>
              </w:rPr>
            </w:pPr>
            <w:r>
              <w:rPr>
                <w:rFonts w:ascii="Times New Roman" w:hAnsi="Times New Roman" w:eastAsia="仿宋_GB2312" w:cs="Times New Roman"/>
                <w:b/>
                <w:color w:val="333333"/>
                <w:kern w:val="0"/>
                <w:sz w:val="28"/>
                <w:szCs w:val="28"/>
              </w:rPr>
              <w:t>培养目标</w:t>
            </w:r>
          </w:p>
          <w:p w14:paraId="6F83B85E">
            <w:pPr>
              <w:spacing w:before="156" w:beforeLines="50"/>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贯彻“宽基础、强能力、重应用”的培养方针，以社会需求为导向，结合生命学院理工结合的优势和特色，培养符合国家需求，德智体美等全面发展，具有良好的思想品质与职业道德，掌握生物技术学科系统的基础理论和专业知识、熟练的实验技能技巧和一定的生产实践技能，熟练掌握一门外语，并且素质和能力全面、创造力强、具有国际视野的生物技术领域专业人才。为科研院所、高等院校以及大中型企事业单位输送高级生物技术人才和后备管理人才。</w:t>
            </w:r>
          </w:p>
          <w:p w14:paraId="2B44EB5B">
            <w:pPr>
              <w:pStyle w:val="8"/>
              <w:widowControl/>
              <w:numPr>
                <w:ilvl w:val="0"/>
                <w:numId w:val="1"/>
              </w:numPr>
              <w:ind w:firstLineChars="0"/>
              <w:jc w:val="left"/>
              <w:rPr>
                <w:rFonts w:ascii="Times New Roman" w:hAnsi="Times New Roman" w:eastAsia="仿宋_GB2312" w:cs="Times New Roman"/>
                <w:b/>
                <w:color w:val="333333"/>
                <w:kern w:val="0"/>
                <w:sz w:val="28"/>
                <w:szCs w:val="28"/>
              </w:rPr>
            </w:pPr>
            <w:r>
              <w:rPr>
                <w:rFonts w:ascii="Times New Roman" w:hAnsi="Times New Roman" w:eastAsia="仿宋_GB2312" w:cs="Times New Roman"/>
                <w:b/>
                <w:color w:val="333333"/>
                <w:kern w:val="0"/>
                <w:sz w:val="28"/>
                <w:szCs w:val="28"/>
              </w:rPr>
              <w:t>就业领域</w:t>
            </w:r>
          </w:p>
          <w:p w14:paraId="0E05C99E">
            <w:pPr>
              <w:spacing w:before="156" w:beforeLines="50"/>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本专业毕业的学生可从事生命科学和生物技术相关领域的基础理论研究工作，也可从事涉及生物、医药、环境、农业、海洋、轻化工等行业的企事业单位和行政管理部门与生物技术有关的技术开发与应用研究、生产管理及行政管理等工作。</w:t>
            </w:r>
          </w:p>
          <w:p w14:paraId="0F1477C9">
            <w:pPr>
              <w:pStyle w:val="8"/>
              <w:widowControl/>
              <w:numPr>
                <w:ilvl w:val="0"/>
                <w:numId w:val="1"/>
              </w:numPr>
              <w:ind w:firstLineChars="0"/>
              <w:jc w:val="left"/>
              <w:rPr>
                <w:rFonts w:ascii="Times New Roman" w:hAnsi="Times New Roman" w:eastAsia="仿宋_GB2312" w:cs="Times New Roman"/>
                <w:b/>
                <w:color w:val="333333"/>
                <w:kern w:val="0"/>
                <w:sz w:val="28"/>
                <w:szCs w:val="28"/>
              </w:rPr>
            </w:pPr>
            <w:r>
              <w:rPr>
                <w:rFonts w:ascii="Times New Roman" w:hAnsi="Times New Roman" w:eastAsia="仿宋_GB2312" w:cs="Times New Roman"/>
                <w:b/>
                <w:color w:val="333333"/>
                <w:kern w:val="0"/>
                <w:sz w:val="28"/>
                <w:szCs w:val="28"/>
              </w:rPr>
              <w:t>培养方案（详见下表）</w:t>
            </w:r>
          </w:p>
          <w:tbl>
            <w:tblPr>
              <w:tblStyle w:val="6"/>
              <w:tblW w:w="8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2360"/>
              <w:gridCol w:w="1126"/>
              <w:gridCol w:w="1598"/>
              <w:gridCol w:w="1615"/>
            </w:tblGrid>
            <w:tr w14:paraId="03C7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1F441524">
                  <w:pPr>
                    <w:widowControl/>
                    <w:jc w:val="center"/>
                    <w:rPr>
                      <w:rFonts w:ascii="Times New Roman" w:hAnsi="Times New Roman" w:eastAsia="仿宋_GB2312" w:cs="Times New Roman"/>
                      <w:b/>
                      <w:color w:val="333333"/>
                      <w:kern w:val="0"/>
                      <w:szCs w:val="21"/>
                    </w:rPr>
                  </w:pPr>
                  <w:r>
                    <w:rPr>
                      <w:rFonts w:ascii="Times New Roman" w:hAnsi="Times New Roman" w:eastAsia="仿宋_GB2312" w:cs="Times New Roman"/>
                      <w:b/>
                      <w:color w:val="333333"/>
                      <w:kern w:val="0"/>
                      <w:szCs w:val="21"/>
                    </w:rPr>
                    <w:t>课程代码</w:t>
                  </w:r>
                </w:p>
              </w:tc>
              <w:tc>
                <w:tcPr>
                  <w:tcW w:w="2360" w:type="dxa"/>
                  <w:vAlign w:val="center"/>
                </w:tcPr>
                <w:p w14:paraId="11EBC59F">
                  <w:pPr>
                    <w:widowControl/>
                    <w:jc w:val="center"/>
                    <w:rPr>
                      <w:rFonts w:ascii="Times New Roman" w:hAnsi="Times New Roman" w:eastAsia="仿宋_GB2312" w:cs="Times New Roman"/>
                      <w:b/>
                      <w:color w:val="333333"/>
                      <w:kern w:val="0"/>
                      <w:szCs w:val="21"/>
                    </w:rPr>
                  </w:pPr>
                  <w:r>
                    <w:rPr>
                      <w:rFonts w:ascii="Times New Roman" w:hAnsi="Times New Roman" w:eastAsia="仿宋_GB2312" w:cs="Times New Roman"/>
                      <w:b/>
                      <w:color w:val="333333"/>
                      <w:kern w:val="0"/>
                      <w:szCs w:val="21"/>
                    </w:rPr>
                    <w:t>课程名称</w:t>
                  </w:r>
                </w:p>
              </w:tc>
              <w:tc>
                <w:tcPr>
                  <w:tcW w:w="1126" w:type="dxa"/>
                  <w:vAlign w:val="center"/>
                </w:tcPr>
                <w:p w14:paraId="1D091970">
                  <w:pPr>
                    <w:widowControl/>
                    <w:jc w:val="center"/>
                    <w:rPr>
                      <w:rFonts w:ascii="Times New Roman" w:hAnsi="Times New Roman" w:eastAsia="仿宋_GB2312" w:cs="Times New Roman"/>
                      <w:b/>
                      <w:color w:val="333333"/>
                      <w:kern w:val="0"/>
                      <w:szCs w:val="21"/>
                    </w:rPr>
                  </w:pPr>
                  <w:r>
                    <w:rPr>
                      <w:rFonts w:ascii="Times New Roman" w:hAnsi="Times New Roman" w:eastAsia="仿宋_GB2312" w:cs="Times New Roman"/>
                      <w:b/>
                      <w:color w:val="333333"/>
                      <w:kern w:val="0"/>
                      <w:szCs w:val="21"/>
                    </w:rPr>
                    <w:t>学分</w:t>
                  </w:r>
                </w:p>
              </w:tc>
              <w:tc>
                <w:tcPr>
                  <w:tcW w:w="1598" w:type="dxa"/>
                  <w:vAlign w:val="center"/>
                </w:tcPr>
                <w:p w14:paraId="2F45E767">
                  <w:pPr>
                    <w:widowControl/>
                    <w:jc w:val="center"/>
                    <w:rPr>
                      <w:rFonts w:ascii="Times New Roman" w:hAnsi="Times New Roman" w:eastAsia="仿宋_GB2312" w:cs="Times New Roman"/>
                      <w:b/>
                      <w:color w:val="333333"/>
                      <w:kern w:val="0"/>
                      <w:szCs w:val="21"/>
                    </w:rPr>
                  </w:pPr>
                  <w:r>
                    <w:rPr>
                      <w:rFonts w:hint="eastAsia" w:ascii="Times New Roman" w:hAnsi="Times New Roman" w:eastAsia="仿宋_GB2312" w:cs="Times New Roman"/>
                      <w:b/>
                      <w:color w:val="333333"/>
                      <w:kern w:val="0"/>
                      <w:szCs w:val="21"/>
                    </w:rPr>
                    <w:t>本学期</w:t>
                  </w:r>
                </w:p>
                <w:p w14:paraId="742E19B3">
                  <w:pPr>
                    <w:widowControl/>
                    <w:jc w:val="center"/>
                    <w:rPr>
                      <w:rFonts w:ascii="Times New Roman" w:hAnsi="Times New Roman" w:eastAsia="仿宋_GB2312" w:cs="Times New Roman"/>
                      <w:b/>
                      <w:color w:val="333333"/>
                      <w:kern w:val="0"/>
                      <w:szCs w:val="21"/>
                    </w:rPr>
                  </w:pPr>
                  <w:r>
                    <w:rPr>
                      <w:rFonts w:hint="eastAsia" w:ascii="Times New Roman" w:hAnsi="Times New Roman" w:eastAsia="仿宋_GB2312" w:cs="Times New Roman"/>
                      <w:b/>
                      <w:color w:val="333333"/>
                      <w:kern w:val="0"/>
                      <w:szCs w:val="21"/>
                    </w:rPr>
                    <w:t>是否开课</w:t>
                  </w:r>
                </w:p>
              </w:tc>
              <w:tc>
                <w:tcPr>
                  <w:tcW w:w="1615" w:type="dxa"/>
                  <w:vAlign w:val="center"/>
                </w:tcPr>
                <w:p w14:paraId="0121ABC4">
                  <w:pPr>
                    <w:widowControl/>
                    <w:jc w:val="center"/>
                    <w:rPr>
                      <w:rFonts w:ascii="Times New Roman" w:hAnsi="Times New Roman" w:eastAsia="仿宋_GB2312" w:cs="Times New Roman"/>
                      <w:b/>
                      <w:color w:val="333333"/>
                      <w:kern w:val="0"/>
                      <w:szCs w:val="21"/>
                    </w:rPr>
                  </w:pPr>
                  <w:r>
                    <w:rPr>
                      <w:rFonts w:ascii="Times New Roman" w:hAnsi="Times New Roman" w:eastAsia="仿宋_GB2312" w:cs="Times New Roman"/>
                      <w:b/>
                      <w:color w:val="333333"/>
                      <w:kern w:val="0"/>
                      <w:szCs w:val="21"/>
                    </w:rPr>
                    <w:t>备注</w:t>
                  </w:r>
                </w:p>
              </w:tc>
            </w:tr>
            <w:tr w14:paraId="779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0D56600A">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102160105</w:t>
                  </w:r>
                  <w:r>
                    <w:rPr>
                      <w:rFonts w:hint="eastAsia" w:ascii="Times New Roman" w:hAnsi="Times New Roman" w:eastAsia="仿宋_GB2312" w:cs="Times New Roman"/>
                      <w:color w:val="333333"/>
                      <w:kern w:val="0"/>
                      <w:szCs w:val="21"/>
                    </w:rPr>
                    <w:t>;</w:t>
                  </w:r>
                  <w:r>
                    <w:t xml:space="preserve"> </w:t>
                  </w:r>
                  <w:r>
                    <w:rPr>
                      <w:rFonts w:ascii="Times New Roman" w:hAnsi="Times New Roman" w:eastAsia="仿宋_GB2312" w:cs="Times New Roman"/>
                      <w:color w:val="333333"/>
                      <w:kern w:val="0"/>
                      <w:szCs w:val="21"/>
                    </w:rPr>
                    <w:t>102160107</w:t>
                  </w:r>
                </w:p>
              </w:tc>
              <w:tc>
                <w:tcPr>
                  <w:tcW w:w="2360" w:type="dxa"/>
                  <w:vAlign w:val="center"/>
                </w:tcPr>
                <w:p w14:paraId="45AF24E6">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生物化学（上，下）</w:t>
                  </w:r>
                </w:p>
              </w:tc>
              <w:tc>
                <w:tcPr>
                  <w:tcW w:w="1126" w:type="dxa"/>
                  <w:vAlign w:val="center"/>
                </w:tcPr>
                <w:p w14:paraId="6B276E24">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000000"/>
                      <w:szCs w:val="21"/>
                    </w:rPr>
                    <w:t>6学分</w:t>
                  </w:r>
                </w:p>
              </w:tc>
              <w:tc>
                <w:tcPr>
                  <w:tcW w:w="1598" w:type="dxa"/>
                  <w:vAlign w:val="center"/>
                </w:tcPr>
                <w:p w14:paraId="45F6BA40">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是</w:t>
                  </w:r>
                </w:p>
              </w:tc>
              <w:tc>
                <w:tcPr>
                  <w:tcW w:w="1615" w:type="dxa"/>
                  <w:vAlign w:val="center"/>
                </w:tcPr>
                <w:p w14:paraId="62B93E48">
                  <w:pPr>
                    <w:widowControl/>
                    <w:jc w:val="center"/>
                    <w:rPr>
                      <w:rFonts w:ascii="Times New Roman" w:hAnsi="Times New Roman" w:eastAsia="仿宋_GB2312" w:cs="Times New Roman"/>
                      <w:color w:val="333333"/>
                      <w:kern w:val="0"/>
                      <w:szCs w:val="21"/>
                    </w:rPr>
                  </w:pPr>
                </w:p>
              </w:tc>
            </w:tr>
            <w:tr w14:paraId="2EC4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00074CB9">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100160106</w:t>
                  </w:r>
                  <w:r>
                    <w:rPr>
                      <w:rFonts w:hint="eastAsia" w:ascii="Times New Roman" w:hAnsi="Times New Roman" w:eastAsia="仿宋_GB2312" w:cs="Times New Roman"/>
                      <w:color w:val="333333"/>
                      <w:kern w:val="0"/>
                      <w:szCs w:val="21"/>
                    </w:rPr>
                    <w:t>;</w:t>
                  </w:r>
                  <w:r>
                    <w:t xml:space="preserve"> </w:t>
                  </w:r>
                  <w:r>
                    <w:rPr>
                      <w:rFonts w:ascii="Times New Roman" w:hAnsi="Times New Roman" w:eastAsia="仿宋_GB2312" w:cs="Times New Roman"/>
                      <w:color w:val="333333"/>
                      <w:kern w:val="0"/>
                      <w:szCs w:val="21"/>
                    </w:rPr>
                    <w:t>100160304</w:t>
                  </w:r>
                </w:p>
              </w:tc>
              <w:tc>
                <w:tcPr>
                  <w:tcW w:w="2360" w:type="dxa"/>
                  <w:vAlign w:val="center"/>
                </w:tcPr>
                <w:p w14:paraId="331705B0">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生物化学实验（上，下）</w:t>
                  </w:r>
                </w:p>
              </w:tc>
              <w:tc>
                <w:tcPr>
                  <w:tcW w:w="1126" w:type="dxa"/>
                  <w:vAlign w:val="center"/>
                </w:tcPr>
                <w:p w14:paraId="1541F86C">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2学分</w:t>
                  </w:r>
                </w:p>
              </w:tc>
              <w:tc>
                <w:tcPr>
                  <w:tcW w:w="1598" w:type="dxa"/>
                  <w:vAlign w:val="center"/>
                </w:tcPr>
                <w:p w14:paraId="255A6042">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是</w:t>
                  </w:r>
                </w:p>
              </w:tc>
              <w:tc>
                <w:tcPr>
                  <w:tcW w:w="1615" w:type="dxa"/>
                  <w:vAlign w:val="center"/>
                </w:tcPr>
                <w:p w14:paraId="1EE4134A">
                  <w:pPr>
                    <w:widowControl/>
                    <w:jc w:val="center"/>
                    <w:rPr>
                      <w:rFonts w:ascii="Times New Roman" w:hAnsi="Times New Roman" w:eastAsia="仿宋_GB2312" w:cs="Times New Roman"/>
                      <w:color w:val="333333"/>
                      <w:kern w:val="0"/>
                      <w:szCs w:val="21"/>
                    </w:rPr>
                  </w:pPr>
                </w:p>
              </w:tc>
            </w:tr>
            <w:tr w14:paraId="66F1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4CEE6FE9">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100160108</w:t>
                  </w:r>
                </w:p>
              </w:tc>
              <w:tc>
                <w:tcPr>
                  <w:tcW w:w="2360" w:type="dxa"/>
                  <w:vAlign w:val="center"/>
                </w:tcPr>
                <w:p w14:paraId="724813A9">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微生物学</w:t>
                  </w:r>
                </w:p>
              </w:tc>
              <w:tc>
                <w:tcPr>
                  <w:tcW w:w="1126" w:type="dxa"/>
                  <w:vAlign w:val="center"/>
                </w:tcPr>
                <w:p w14:paraId="52272850">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3学分</w:t>
                  </w:r>
                </w:p>
              </w:tc>
              <w:tc>
                <w:tcPr>
                  <w:tcW w:w="1598" w:type="dxa"/>
                  <w:vAlign w:val="center"/>
                </w:tcPr>
                <w:p w14:paraId="7DE51D05">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是</w:t>
                  </w:r>
                </w:p>
              </w:tc>
              <w:tc>
                <w:tcPr>
                  <w:tcW w:w="1615" w:type="dxa"/>
                  <w:vAlign w:val="center"/>
                </w:tcPr>
                <w:p w14:paraId="434270E2">
                  <w:pPr>
                    <w:widowControl/>
                    <w:jc w:val="center"/>
                    <w:rPr>
                      <w:rFonts w:ascii="Times New Roman" w:hAnsi="Times New Roman" w:eastAsia="仿宋_GB2312" w:cs="Times New Roman"/>
                      <w:color w:val="333333"/>
                      <w:kern w:val="0"/>
                      <w:szCs w:val="21"/>
                    </w:rPr>
                  </w:pPr>
                </w:p>
              </w:tc>
            </w:tr>
            <w:tr w14:paraId="6FE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585DE101">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100160114</w:t>
                  </w:r>
                </w:p>
              </w:tc>
              <w:tc>
                <w:tcPr>
                  <w:tcW w:w="2360" w:type="dxa"/>
                  <w:vAlign w:val="center"/>
                </w:tcPr>
                <w:p w14:paraId="248DBEC7">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细胞生物学</w:t>
                  </w:r>
                </w:p>
              </w:tc>
              <w:tc>
                <w:tcPr>
                  <w:tcW w:w="1126" w:type="dxa"/>
                  <w:vAlign w:val="center"/>
                </w:tcPr>
                <w:p w14:paraId="6CDCA2D8">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3学分</w:t>
                  </w:r>
                </w:p>
              </w:tc>
              <w:tc>
                <w:tcPr>
                  <w:tcW w:w="1598" w:type="dxa"/>
                  <w:vAlign w:val="center"/>
                </w:tcPr>
                <w:p w14:paraId="19B9CF15">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否</w:t>
                  </w:r>
                </w:p>
              </w:tc>
              <w:tc>
                <w:tcPr>
                  <w:tcW w:w="1615" w:type="dxa"/>
                  <w:vAlign w:val="center"/>
                </w:tcPr>
                <w:p w14:paraId="67602E67">
                  <w:pPr>
                    <w:widowControl/>
                    <w:jc w:val="center"/>
                    <w:rPr>
                      <w:rFonts w:ascii="Times New Roman" w:hAnsi="Times New Roman" w:eastAsia="仿宋_GB2312" w:cs="Times New Roman"/>
                      <w:color w:val="333333"/>
                      <w:kern w:val="0"/>
                      <w:szCs w:val="21"/>
                    </w:rPr>
                  </w:pPr>
                </w:p>
              </w:tc>
            </w:tr>
            <w:tr w14:paraId="2CEA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2AE31CA5">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100160116</w:t>
                  </w:r>
                </w:p>
              </w:tc>
              <w:tc>
                <w:tcPr>
                  <w:tcW w:w="2360" w:type="dxa"/>
                  <w:vAlign w:val="center"/>
                </w:tcPr>
                <w:p w14:paraId="65CE9F1C">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细胞生物学实验</w:t>
                  </w:r>
                </w:p>
              </w:tc>
              <w:tc>
                <w:tcPr>
                  <w:tcW w:w="1126" w:type="dxa"/>
                  <w:vAlign w:val="center"/>
                </w:tcPr>
                <w:p w14:paraId="42BAE5B7">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1学分</w:t>
                  </w:r>
                </w:p>
              </w:tc>
              <w:tc>
                <w:tcPr>
                  <w:tcW w:w="1598" w:type="dxa"/>
                  <w:vAlign w:val="center"/>
                </w:tcPr>
                <w:p w14:paraId="1F822E29">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否</w:t>
                  </w:r>
                </w:p>
              </w:tc>
              <w:tc>
                <w:tcPr>
                  <w:tcW w:w="1615" w:type="dxa"/>
                  <w:vAlign w:val="center"/>
                </w:tcPr>
                <w:p w14:paraId="170B7094">
                  <w:pPr>
                    <w:widowControl/>
                    <w:jc w:val="center"/>
                    <w:rPr>
                      <w:rFonts w:ascii="Times New Roman" w:hAnsi="Times New Roman" w:eastAsia="仿宋_GB2312" w:cs="Times New Roman"/>
                      <w:color w:val="333333"/>
                      <w:kern w:val="0"/>
                      <w:szCs w:val="21"/>
                    </w:rPr>
                  </w:pPr>
                </w:p>
              </w:tc>
            </w:tr>
            <w:tr w14:paraId="4D32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40598C19">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100160109</w:t>
                  </w:r>
                </w:p>
              </w:tc>
              <w:tc>
                <w:tcPr>
                  <w:tcW w:w="2360" w:type="dxa"/>
                  <w:vAlign w:val="center"/>
                </w:tcPr>
                <w:p w14:paraId="46606DF4">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微生物学实验</w:t>
                  </w:r>
                </w:p>
              </w:tc>
              <w:tc>
                <w:tcPr>
                  <w:tcW w:w="1126" w:type="dxa"/>
                  <w:vAlign w:val="center"/>
                </w:tcPr>
                <w:p w14:paraId="7C66FF6E">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1.5学分</w:t>
                  </w:r>
                </w:p>
              </w:tc>
              <w:tc>
                <w:tcPr>
                  <w:tcW w:w="1598" w:type="dxa"/>
                  <w:vAlign w:val="center"/>
                </w:tcPr>
                <w:p w14:paraId="6832840D">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是</w:t>
                  </w:r>
                </w:p>
              </w:tc>
              <w:tc>
                <w:tcPr>
                  <w:tcW w:w="1615" w:type="dxa"/>
                  <w:vAlign w:val="center"/>
                </w:tcPr>
                <w:p w14:paraId="16621E58">
                  <w:pPr>
                    <w:widowControl/>
                    <w:jc w:val="center"/>
                    <w:rPr>
                      <w:rFonts w:ascii="Times New Roman" w:hAnsi="Times New Roman" w:eastAsia="仿宋_GB2312" w:cs="Times New Roman"/>
                      <w:color w:val="333333"/>
                      <w:kern w:val="0"/>
                      <w:szCs w:val="21"/>
                    </w:rPr>
                  </w:pPr>
                </w:p>
              </w:tc>
            </w:tr>
            <w:tr w14:paraId="73A7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2F307A0E">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100160140</w:t>
                  </w:r>
                </w:p>
              </w:tc>
              <w:tc>
                <w:tcPr>
                  <w:tcW w:w="2360" w:type="dxa"/>
                  <w:vAlign w:val="center"/>
                </w:tcPr>
                <w:p w14:paraId="71C73530">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分子生物学实验</w:t>
                  </w:r>
                </w:p>
              </w:tc>
              <w:tc>
                <w:tcPr>
                  <w:tcW w:w="1126" w:type="dxa"/>
                  <w:vAlign w:val="center"/>
                </w:tcPr>
                <w:p w14:paraId="025064EF">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1.5学分</w:t>
                  </w:r>
                </w:p>
              </w:tc>
              <w:tc>
                <w:tcPr>
                  <w:tcW w:w="1598" w:type="dxa"/>
                  <w:vAlign w:val="center"/>
                </w:tcPr>
                <w:p w14:paraId="3DF88BA9">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否</w:t>
                  </w:r>
                </w:p>
              </w:tc>
              <w:tc>
                <w:tcPr>
                  <w:tcW w:w="1615" w:type="dxa"/>
                  <w:vAlign w:val="center"/>
                </w:tcPr>
                <w:p w14:paraId="613CC6EA">
                  <w:pPr>
                    <w:widowControl/>
                    <w:jc w:val="center"/>
                    <w:rPr>
                      <w:rFonts w:ascii="Times New Roman" w:hAnsi="Times New Roman" w:eastAsia="仿宋_GB2312" w:cs="Times New Roman"/>
                      <w:color w:val="333333"/>
                      <w:kern w:val="0"/>
                      <w:szCs w:val="21"/>
                    </w:rPr>
                  </w:pPr>
                </w:p>
              </w:tc>
            </w:tr>
            <w:tr w14:paraId="3E97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0CEE5AB4">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102160117</w:t>
                  </w:r>
                </w:p>
              </w:tc>
              <w:tc>
                <w:tcPr>
                  <w:tcW w:w="2360" w:type="dxa"/>
                  <w:vAlign w:val="center"/>
                </w:tcPr>
                <w:p w14:paraId="2F1A665C">
                  <w:pPr>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分子生物学</w:t>
                  </w:r>
                </w:p>
              </w:tc>
              <w:tc>
                <w:tcPr>
                  <w:tcW w:w="1126" w:type="dxa"/>
                  <w:vAlign w:val="center"/>
                </w:tcPr>
                <w:p w14:paraId="22D5AF64">
                  <w:pPr>
                    <w:widowControl/>
                    <w:jc w:val="center"/>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3学分</w:t>
                  </w:r>
                </w:p>
              </w:tc>
              <w:tc>
                <w:tcPr>
                  <w:tcW w:w="1598" w:type="dxa"/>
                  <w:vAlign w:val="center"/>
                </w:tcPr>
                <w:p w14:paraId="7BC5A9BA">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否</w:t>
                  </w:r>
                </w:p>
              </w:tc>
              <w:tc>
                <w:tcPr>
                  <w:tcW w:w="1615" w:type="dxa"/>
                  <w:vAlign w:val="center"/>
                </w:tcPr>
                <w:p w14:paraId="7AB64C3E">
                  <w:pPr>
                    <w:widowControl/>
                    <w:jc w:val="center"/>
                    <w:rPr>
                      <w:rFonts w:ascii="Times New Roman" w:hAnsi="Times New Roman" w:eastAsia="仿宋_GB2312" w:cs="Times New Roman"/>
                      <w:color w:val="333333"/>
                      <w:kern w:val="0"/>
                      <w:szCs w:val="21"/>
                    </w:rPr>
                  </w:pPr>
                </w:p>
              </w:tc>
            </w:tr>
            <w:tr w14:paraId="2F26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629B34D6">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100160143</w:t>
                  </w:r>
                </w:p>
              </w:tc>
              <w:tc>
                <w:tcPr>
                  <w:tcW w:w="2360" w:type="dxa"/>
                  <w:vAlign w:val="center"/>
                </w:tcPr>
                <w:p w14:paraId="7746F32B">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000000"/>
                      <w:szCs w:val="21"/>
                    </w:rPr>
                    <w:t>免疫学</w:t>
                  </w:r>
                </w:p>
              </w:tc>
              <w:tc>
                <w:tcPr>
                  <w:tcW w:w="1126" w:type="dxa"/>
                  <w:vAlign w:val="center"/>
                </w:tcPr>
                <w:p w14:paraId="77EBBB5E">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000000"/>
                      <w:szCs w:val="21"/>
                    </w:rPr>
                    <w:t>2学分</w:t>
                  </w:r>
                </w:p>
              </w:tc>
              <w:tc>
                <w:tcPr>
                  <w:tcW w:w="1598" w:type="dxa"/>
                  <w:vAlign w:val="center"/>
                </w:tcPr>
                <w:p w14:paraId="3DCC4054">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是</w:t>
                  </w:r>
                </w:p>
              </w:tc>
              <w:tc>
                <w:tcPr>
                  <w:tcW w:w="1615" w:type="dxa"/>
                  <w:vAlign w:val="center"/>
                </w:tcPr>
                <w:p w14:paraId="29800401">
                  <w:pPr>
                    <w:widowControl/>
                    <w:jc w:val="center"/>
                    <w:rPr>
                      <w:rFonts w:ascii="Times New Roman" w:hAnsi="Times New Roman" w:eastAsia="仿宋_GB2312" w:cs="Times New Roman"/>
                      <w:color w:val="333333"/>
                      <w:kern w:val="0"/>
                      <w:szCs w:val="21"/>
                    </w:rPr>
                  </w:pPr>
                </w:p>
              </w:tc>
            </w:tr>
            <w:tr w14:paraId="4CA8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dxa"/>
                  <w:vAlign w:val="center"/>
                </w:tcPr>
                <w:p w14:paraId="6E81A060">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333333"/>
                      <w:kern w:val="0"/>
                      <w:szCs w:val="21"/>
                    </w:rPr>
                    <w:t>100160128</w:t>
                  </w:r>
                </w:p>
              </w:tc>
              <w:tc>
                <w:tcPr>
                  <w:tcW w:w="2360" w:type="dxa"/>
                  <w:vAlign w:val="center"/>
                </w:tcPr>
                <w:p w14:paraId="7DF26C98">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000000"/>
                      <w:szCs w:val="21"/>
                    </w:rPr>
                    <w:t>遗传学</w:t>
                  </w:r>
                </w:p>
              </w:tc>
              <w:tc>
                <w:tcPr>
                  <w:tcW w:w="1126" w:type="dxa"/>
                  <w:vAlign w:val="center"/>
                </w:tcPr>
                <w:p w14:paraId="583D0ECF">
                  <w:pPr>
                    <w:widowControl/>
                    <w:jc w:val="center"/>
                    <w:rPr>
                      <w:rFonts w:ascii="Times New Roman" w:hAnsi="Times New Roman" w:eastAsia="仿宋_GB2312" w:cs="Times New Roman"/>
                      <w:color w:val="333333"/>
                      <w:kern w:val="0"/>
                      <w:szCs w:val="21"/>
                    </w:rPr>
                  </w:pPr>
                  <w:r>
                    <w:rPr>
                      <w:rFonts w:ascii="Times New Roman" w:hAnsi="Times New Roman" w:eastAsia="仿宋_GB2312" w:cs="Times New Roman"/>
                      <w:color w:val="000000"/>
                      <w:szCs w:val="21"/>
                    </w:rPr>
                    <w:t>2学分</w:t>
                  </w:r>
                </w:p>
              </w:tc>
              <w:tc>
                <w:tcPr>
                  <w:tcW w:w="1598" w:type="dxa"/>
                  <w:vAlign w:val="center"/>
                </w:tcPr>
                <w:p w14:paraId="49E14CE1">
                  <w:pPr>
                    <w:widowControl/>
                    <w:jc w:val="center"/>
                    <w:rPr>
                      <w:rFonts w:ascii="Times New Roman" w:hAnsi="Times New Roman" w:eastAsia="仿宋_GB2312" w:cs="Times New Roman"/>
                      <w:color w:val="333333"/>
                      <w:kern w:val="0"/>
                      <w:szCs w:val="21"/>
                    </w:rPr>
                  </w:pPr>
                  <w:r>
                    <w:rPr>
                      <w:rFonts w:hint="eastAsia" w:ascii="Times New Roman" w:hAnsi="Times New Roman" w:eastAsia="仿宋_GB2312" w:cs="Times New Roman"/>
                      <w:color w:val="333333"/>
                      <w:kern w:val="0"/>
                      <w:szCs w:val="21"/>
                    </w:rPr>
                    <w:t>是</w:t>
                  </w:r>
                </w:p>
              </w:tc>
              <w:tc>
                <w:tcPr>
                  <w:tcW w:w="1615" w:type="dxa"/>
                  <w:vAlign w:val="center"/>
                </w:tcPr>
                <w:p w14:paraId="396E0453">
                  <w:pPr>
                    <w:widowControl/>
                    <w:jc w:val="center"/>
                    <w:rPr>
                      <w:rFonts w:ascii="Times New Roman" w:hAnsi="Times New Roman" w:eastAsia="仿宋_GB2312" w:cs="Times New Roman"/>
                      <w:color w:val="333333"/>
                      <w:kern w:val="0"/>
                      <w:szCs w:val="21"/>
                    </w:rPr>
                  </w:pPr>
                </w:p>
              </w:tc>
            </w:tr>
          </w:tbl>
          <w:p w14:paraId="1F1C0124">
            <w:pPr>
              <w:widowControl/>
              <w:jc w:val="left"/>
              <w:rPr>
                <w:rFonts w:hint="eastAsia" w:ascii="Times New Roman" w:hAnsi="Times New Roman" w:eastAsia="仿宋_GB2312" w:cs="Times New Roman"/>
                <w:color w:val="333333"/>
                <w:kern w:val="0"/>
                <w:sz w:val="27"/>
                <w:szCs w:val="27"/>
              </w:rPr>
            </w:pPr>
          </w:p>
        </w:tc>
      </w:tr>
    </w:tbl>
    <w:p w14:paraId="5C57936E">
      <w:pPr>
        <w:widowControl/>
        <w:spacing w:before="100" w:beforeAutospacing="1" w:after="100" w:afterAutospacing="1"/>
        <w:ind w:left="5670" w:leftChars="2700"/>
        <w:jc w:val="left"/>
        <w:rPr>
          <w:rFonts w:ascii="仿宋_GB2312" w:hAnsi="宋体" w:eastAsia="仿宋_GB2312" w:cs="宋体"/>
          <w:color w:val="333333"/>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275327"/>
      <w:docPartObj>
        <w:docPartGallery w:val="AutoText"/>
      </w:docPartObj>
    </w:sdtPr>
    <w:sdtContent>
      <w:sdt>
        <w:sdtPr>
          <w:id w:val="-1705238520"/>
          <w:docPartObj>
            <w:docPartGallery w:val="AutoText"/>
          </w:docPartObj>
        </w:sdtPr>
        <w:sdtContent>
          <w:p w14:paraId="06EE204D">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7859D8A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2E5C68"/>
    <w:multiLevelType w:val="multilevel"/>
    <w:tmpl w:val="6C2E5C68"/>
    <w:lvl w:ilvl="0" w:tentative="0">
      <w:start w:val="1"/>
      <w:numFmt w:val="japaneseCounting"/>
      <w:lvlText w:val="%1、"/>
      <w:lvlJc w:val="left"/>
      <w:pPr>
        <w:ind w:left="990" w:hanging="720"/>
      </w:pPr>
      <w:rPr>
        <w:rFonts w:hint="default"/>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412"/>
    <w:rsid w:val="00005F5C"/>
    <w:rsid w:val="00031BF0"/>
    <w:rsid w:val="000337F2"/>
    <w:rsid w:val="000531DA"/>
    <w:rsid w:val="000734BB"/>
    <w:rsid w:val="000D1E93"/>
    <w:rsid w:val="00167940"/>
    <w:rsid w:val="00182F61"/>
    <w:rsid w:val="001D213E"/>
    <w:rsid w:val="001E387C"/>
    <w:rsid w:val="001F20E6"/>
    <w:rsid w:val="002071B9"/>
    <w:rsid w:val="00252335"/>
    <w:rsid w:val="002C442F"/>
    <w:rsid w:val="002C7F2A"/>
    <w:rsid w:val="002E61B7"/>
    <w:rsid w:val="002F03A6"/>
    <w:rsid w:val="00377741"/>
    <w:rsid w:val="003B2412"/>
    <w:rsid w:val="003F0F48"/>
    <w:rsid w:val="004215C9"/>
    <w:rsid w:val="0048589D"/>
    <w:rsid w:val="004E7FC1"/>
    <w:rsid w:val="00530846"/>
    <w:rsid w:val="00556E2B"/>
    <w:rsid w:val="00560359"/>
    <w:rsid w:val="005A56D7"/>
    <w:rsid w:val="00621E23"/>
    <w:rsid w:val="006C5206"/>
    <w:rsid w:val="00782D3A"/>
    <w:rsid w:val="007B72D8"/>
    <w:rsid w:val="00824D50"/>
    <w:rsid w:val="00852435"/>
    <w:rsid w:val="00891E82"/>
    <w:rsid w:val="008A128A"/>
    <w:rsid w:val="008F785A"/>
    <w:rsid w:val="00910DB9"/>
    <w:rsid w:val="009243D8"/>
    <w:rsid w:val="0094181A"/>
    <w:rsid w:val="009534DC"/>
    <w:rsid w:val="00954AB3"/>
    <w:rsid w:val="00954EF4"/>
    <w:rsid w:val="0096101C"/>
    <w:rsid w:val="0097093C"/>
    <w:rsid w:val="00A753AD"/>
    <w:rsid w:val="00AC3EE4"/>
    <w:rsid w:val="00AD66B3"/>
    <w:rsid w:val="00AF41FA"/>
    <w:rsid w:val="00B4187A"/>
    <w:rsid w:val="00B96FB3"/>
    <w:rsid w:val="00BE58E1"/>
    <w:rsid w:val="00C23AEB"/>
    <w:rsid w:val="00CE2011"/>
    <w:rsid w:val="00D51DBA"/>
    <w:rsid w:val="00D84122"/>
    <w:rsid w:val="00DF1145"/>
    <w:rsid w:val="00E535B3"/>
    <w:rsid w:val="00E91FA5"/>
    <w:rsid w:val="00ED4CAE"/>
    <w:rsid w:val="00F23E03"/>
    <w:rsid w:val="00F618BE"/>
    <w:rsid w:val="00FC476B"/>
    <w:rsid w:val="00FE3C13"/>
    <w:rsid w:val="5AB83D98"/>
    <w:rsid w:val="7A48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885</Words>
  <Characters>995</Characters>
  <Lines>7</Lines>
  <Paragraphs>2</Paragraphs>
  <TotalTime>28</TotalTime>
  <ScaleCrop>false</ScaleCrop>
  <LinksUpToDate>false</LinksUpToDate>
  <CharactersWithSpaces>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2022-12-27T10:16:00Z</dcterms:created>
  <dc:creator>l</dc:creator>
  <cp:lastModifiedBy>云</cp:lastModifiedBy>
  <cp:lastPrinted>2019-05-06T03:24:00Z</cp:lastPrinted>
  <dcterms:modified xsi:type="dcterms:W3CDTF">2025-12-16T02:42:43Z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4E9B1531D8994EFBA9FF0633CAECEC83_13</vt:lpwstr>
  </property>
  <property fmtid="{D5CDD505-2E9C-101B-9397-08002B2CF9AE}" pid="4" name="KSOTemplateDocerSaveRecord">
    <vt:lpwstr>eyJoZGlkIjoiYTNiMTk4YmNiYzY4YzdjNWMwYWU5NzRkZGI1Y2FlNzciLCJ1c2VySWQiOiIyODAxNDc3MiJ9</vt:lpwstr>
  </property>
</Properties>
</file>